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92D1BDC" w:rsidR="00E90E49" w:rsidRPr="00CE0424" w:rsidRDefault="00E90E49" w:rsidP="0055642E">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A611BC">
        <w:t>11</w:t>
      </w:r>
      <w:r w:rsidR="00CE5255">
        <w:t>4bis</w:t>
      </w:r>
      <w:r w:rsidRPr="00CE0424">
        <w:tab/>
      </w:r>
      <w:r w:rsidR="00091557" w:rsidRPr="00CE0424">
        <w:rPr>
          <w:sz w:val="32"/>
          <w:szCs w:val="32"/>
        </w:rPr>
        <w:t>R</w:t>
      </w:r>
      <w:r w:rsidR="008F1C4E">
        <w:rPr>
          <w:sz w:val="32"/>
          <w:szCs w:val="32"/>
        </w:rPr>
        <w:t>1</w:t>
      </w:r>
      <w:r w:rsidR="00091557" w:rsidRPr="00CE0424">
        <w:rPr>
          <w:sz w:val="32"/>
          <w:szCs w:val="32"/>
        </w:rPr>
        <w:t>-</w:t>
      </w:r>
      <w:r w:rsidR="00001849" w:rsidRPr="00001849">
        <w:rPr>
          <w:sz w:val="32"/>
          <w:szCs w:val="32"/>
        </w:rPr>
        <w:t>2309777</w:t>
      </w:r>
    </w:p>
    <w:p w14:paraId="0CE7B7E6" w14:textId="2CEA04D4" w:rsidR="00E90E49" w:rsidRPr="00CE0424" w:rsidRDefault="00CE5255" w:rsidP="0055642E">
      <w:pPr>
        <w:pStyle w:val="3GPPHeader"/>
      </w:pPr>
      <w:r w:rsidRPr="00CE5255">
        <w:t>Xiamen</w:t>
      </w:r>
      <w:r w:rsidR="0027144F" w:rsidRPr="00CE5255">
        <w:t xml:space="preserve">, </w:t>
      </w:r>
      <w:r w:rsidRPr="00CE5255">
        <w:t>P.R. China</w:t>
      </w:r>
      <w:r w:rsidR="0027144F" w:rsidRPr="00CE5255">
        <w:t xml:space="preserve">, </w:t>
      </w:r>
      <w:r w:rsidRPr="00CE5255">
        <w:t>October</w:t>
      </w:r>
      <w:r w:rsidR="0027144F" w:rsidRPr="00CE5255">
        <w:t xml:space="preserve"> </w:t>
      </w:r>
      <w:r w:rsidRPr="00CE5255">
        <w:t>9</w:t>
      </w:r>
      <w:r w:rsidR="001D53E7" w:rsidRPr="00CE5255">
        <w:rPr>
          <w:vertAlign w:val="superscript"/>
        </w:rPr>
        <w:t>th</w:t>
      </w:r>
      <w:r w:rsidRPr="00CE5255">
        <w:t xml:space="preserve"> </w:t>
      </w:r>
      <w:r w:rsidR="001D53E7" w:rsidRPr="00CE5255">
        <w:t xml:space="preserve">– </w:t>
      </w:r>
      <w:r w:rsidRPr="00CE5255">
        <w:t>13</w:t>
      </w:r>
      <w:r w:rsidR="001D53E7" w:rsidRPr="00CE5255">
        <w:rPr>
          <w:vertAlign w:val="superscript"/>
        </w:rPr>
        <w:t>th</w:t>
      </w:r>
      <w:r w:rsidR="00C37CB2" w:rsidRPr="00CE5255">
        <w:t xml:space="preserve"> </w:t>
      </w:r>
      <w:r w:rsidR="0027144F" w:rsidRPr="00CE5255">
        <w:t>20</w:t>
      </w:r>
      <w:r w:rsidR="00A611BC" w:rsidRPr="00CE5255">
        <w:t>22</w:t>
      </w:r>
    </w:p>
    <w:p w14:paraId="3086AC07" w14:textId="77777777" w:rsidR="00E90E49" w:rsidRPr="00CE0424" w:rsidRDefault="00E90E49" w:rsidP="0055642E">
      <w:pPr>
        <w:pStyle w:val="3GPPHeader"/>
      </w:pPr>
    </w:p>
    <w:p w14:paraId="3982483C" w14:textId="3C957F96" w:rsidR="00E90E49" w:rsidRPr="000E22D7" w:rsidRDefault="00E90E49" w:rsidP="0055642E">
      <w:pPr>
        <w:pStyle w:val="3GPPHeader"/>
      </w:pPr>
      <w:r w:rsidRPr="000E22D7">
        <w:t>Agenda Item:</w:t>
      </w:r>
      <w:r w:rsidRPr="000E22D7">
        <w:tab/>
      </w:r>
      <w:r w:rsidR="00CE5255" w:rsidRPr="000E22D7">
        <w:t>8.16.7</w:t>
      </w:r>
    </w:p>
    <w:p w14:paraId="5619E868" w14:textId="77777777" w:rsidR="00E90E49" w:rsidRPr="00CE0424" w:rsidRDefault="003D3C45" w:rsidP="0055642E">
      <w:pPr>
        <w:pStyle w:val="3GPPHeader"/>
      </w:pPr>
      <w:r>
        <w:t>Source:</w:t>
      </w:r>
      <w:r w:rsidR="00E90E49" w:rsidRPr="00CE0424">
        <w:tab/>
      </w:r>
      <w:r w:rsidR="00F64C2B" w:rsidRPr="00CE0424">
        <w:t>Ericsson</w:t>
      </w:r>
    </w:p>
    <w:p w14:paraId="3AF5C9FA" w14:textId="06360201" w:rsidR="00E90E49" w:rsidRPr="00CE0424" w:rsidRDefault="003D3C45" w:rsidP="0055642E">
      <w:pPr>
        <w:pStyle w:val="3GPPHeader"/>
      </w:pPr>
      <w:r>
        <w:t>Title:</w:t>
      </w:r>
      <w:r w:rsidR="00E90E49" w:rsidRPr="00CE0424">
        <w:tab/>
      </w:r>
      <w:r w:rsidR="00CE5255">
        <w:t>UE-features for mobility enhancements</w:t>
      </w:r>
    </w:p>
    <w:p w14:paraId="025260C1" w14:textId="77777777" w:rsidR="00E90E49" w:rsidRPr="00CE0424" w:rsidRDefault="00E90E49" w:rsidP="0055642E">
      <w:pPr>
        <w:pStyle w:val="3GPPHeader"/>
      </w:pPr>
      <w:r w:rsidRPr="00CE0424">
        <w:t>Document for:</w:t>
      </w:r>
      <w:r w:rsidRPr="00CE0424">
        <w:tab/>
      </w:r>
      <w:r w:rsidRPr="00CE5255">
        <w:t>Discussion, Decision</w:t>
      </w:r>
    </w:p>
    <w:p w14:paraId="2D5672ED" w14:textId="77777777" w:rsidR="00E90E49" w:rsidRPr="00CE0424" w:rsidRDefault="00E90E49" w:rsidP="0055642E"/>
    <w:p w14:paraId="6883CB62" w14:textId="33436E6E" w:rsidR="00E90E49" w:rsidRPr="00CE0424" w:rsidRDefault="00E90E49" w:rsidP="00AC22FB">
      <w:pPr>
        <w:pStyle w:val="Heading1"/>
      </w:pPr>
      <w:r w:rsidRPr="00CE0424">
        <w:t>Introduction</w:t>
      </w:r>
    </w:p>
    <w:p w14:paraId="231E64EA" w14:textId="7E5CBAF6" w:rsidR="00477768" w:rsidRPr="00CE0424" w:rsidRDefault="00853FD2" w:rsidP="0055642E">
      <w:pPr>
        <w:pStyle w:val="BodyText"/>
      </w:pPr>
      <w:r>
        <w:t>IN RAN1 #114</w:t>
      </w:r>
      <w:r w:rsidR="006779CC">
        <w:t>, a first version of the UE-features list for mobility enhancements was agreed</w:t>
      </w:r>
      <w:r w:rsidR="006002AB">
        <w:t> </w:t>
      </w:r>
      <w:r w:rsidR="006002AB">
        <w:fldChar w:fldCharType="begin"/>
      </w:r>
      <w:r w:rsidR="006002AB">
        <w:instrText xml:space="preserve"> REF _Ref146901783 \r \h </w:instrText>
      </w:r>
      <w:r w:rsidR="006002AB">
        <w:fldChar w:fldCharType="separate"/>
      </w:r>
      <w:r w:rsidR="007B07D5">
        <w:t>[1]</w:t>
      </w:r>
      <w:r w:rsidR="006002AB">
        <w:fldChar w:fldCharType="end"/>
      </w:r>
      <w:r w:rsidR="006779CC">
        <w:t xml:space="preserve">. Below, we provide our comments and opinions on </w:t>
      </w:r>
      <w:r w:rsidR="00974AA9">
        <w:t>said list.</w:t>
      </w:r>
    </w:p>
    <w:p w14:paraId="60123794" w14:textId="5D72AF31" w:rsidR="004000E8" w:rsidRDefault="004000E8" w:rsidP="00CE0424">
      <w:pPr>
        <w:pStyle w:val="Heading1"/>
      </w:pPr>
      <w:bookmarkStart w:id="0" w:name="_Ref178064866"/>
      <w:r w:rsidRPr="00CE0424">
        <w:t>Discussion</w:t>
      </w:r>
      <w:bookmarkEnd w:id="0"/>
    </w:p>
    <w:p w14:paraId="4BB81FC9" w14:textId="2AC4DAC1" w:rsidR="00974AA9" w:rsidRDefault="00974AA9" w:rsidP="0055642E">
      <w:r>
        <w:t xml:space="preserve">Due to the extreme success of cellular combinations more and more of the available spectrum has been allocated for it. With every generation, more bands are included in the cellular specifications, allowing for improved and targeted performance. As a result, the complexity in supporting all resulting band combinations </w:t>
      </w:r>
      <w:r w:rsidR="00685C4E">
        <w:t>is</w:t>
      </w:r>
      <w:r>
        <w:t xml:space="preserve"> exponentially increasing and </w:t>
      </w:r>
      <w:r w:rsidR="00685C4E">
        <w:t>such specification should for that reason be avoided as far as possible – mobility enhancements is no exception.</w:t>
      </w:r>
      <w:r>
        <w:t xml:space="preserve"> </w:t>
      </w:r>
      <w:r w:rsidR="00685C4E">
        <w:t>Consequently, we propose that UE-features related to mobility enhancements, as a baseline, are supported per band.</w:t>
      </w:r>
    </w:p>
    <w:p w14:paraId="705E1CEF" w14:textId="5064BCA2" w:rsidR="00974AA9" w:rsidRDefault="00974AA9" w:rsidP="0055642E">
      <w:pPr>
        <w:pStyle w:val="Observation"/>
      </w:pPr>
      <w:bookmarkStart w:id="1" w:name="_Toc146901846"/>
      <w:r>
        <w:t>Specifying UE-features per band combination exponentially increase complexity.</w:t>
      </w:r>
      <w:bookmarkEnd w:id="1"/>
    </w:p>
    <w:p w14:paraId="43A56B1E" w14:textId="70737901" w:rsidR="00974AA9" w:rsidRDefault="00974AA9" w:rsidP="0055642E">
      <w:pPr>
        <w:pStyle w:val="Proposal"/>
      </w:pPr>
      <w:bookmarkStart w:id="2" w:name="_Toc146901850"/>
      <w:r>
        <w:t>UE-features for mobility enhancements are specified per band.</w:t>
      </w:r>
      <w:bookmarkEnd w:id="2"/>
    </w:p>
    <w:p w14:paraId="78ED356E" w14:textId="235B4489" w:rsidR="00685C4E" w:rsidRDefault="00685C4E" w:rsidP="0055642E">
      <w:r>
        <w:t xml:space="preserve">We do acknowledge, however, that it may make sense for some cases to allow the feature to inherit the </w:t>
      </w:r>
      <w:r w:rsidR="00742DF3">
        <w:t xml:space="preserve">type </w:t>
      </w:r>
      <w:r>
        <w:t>of a prerequisite feature group.</w:t>
      </w:r>
    </w:p>
    <w:p w14:paraId="13546EC5" w14:textId="6E5AA7F8" w:rsidR="00CE5255" w:rsidRDefault="00CE5255" w:rsidP="00F63950">
      <w:pPr>
        <w:pStyle w:val="Heading2"/>
      </w:pPr>
      <w:r>
        <w:t>FG 45-1</w:t>
      </w:r>
    </w:p>
    <w:p w14:paraId="17877312" w14:textId="4383D2D8" w:rsidR="00824FA5" w:rsidRDefault="00824FA5" w:rsidP="00824FA5">
      <w:r>
        <w:t>In our view, there should be a default baseline implementation of the mobility enhancements WI since a too complex specification will impose a too high implementation threshold and thereby limit the business case for the overall mobility enhancement feature. A not unreasonable minimalistic implementation could be limited to, e.g.,</w:t>
      </w:r>
    </w:p>
    <w:p w14:paraId="42562DB0" w14:textId="77777777" w:rsidR="00824FA5" w:rsidRDefault="00824FA5" w:rsidP="00824FA5">
      <w:pPr>
        <w:pStyle w:val="ListParagraph"/>
      </w:pPr>
      <w:r w:rsidRPr="0055642E">
        <w:t>Intra-frequency</w:t>
      </w:r>
      <w:r>
        <w:t xml:space="preserve"> measurements,</w:t>
      </w:r>
    </w:p>
    <w:p w14:paraId="7F23A2F5" w14:textId="77777777" w:rsidR="00824FA5" w:rsidRDefault="00824FA5" w:rsidP="00824FA5">
      <w:pPr>
        <w:pStyle w:val="ListParagraph"/>
      </w:pPr>
      <w:r w:rsidRPr="0055642E">
        <w:t>Synchronous</w:t>
      </w:r>
      <w:r>
        <w:t xml:space="preserve"> measurements, and</w:t>
      </w:r>
    </w:p>
    <w:p w14:paraId="152F9209" w14:textId="4F653ECF" w:rsidR="00824FA5" w:rsidRDefault="00824FA5" w:rsidP="00824FA5">
      <w:pPr>
        <w:pStyle w:val="ListParagraph"/>
        <w:spacing w:after="240"/>
      </w:pPr>
      <w:r>
        <w:t>Aperiodic reporting on PUSCH.</w:t>
      </w:r>
    </w:p>
    <w:p w14:paraId="4279C3DC" w14:textId="09BD9CE0" w:rsidR="009963D7" w:rsidRDefault="00145255" w:rsidP="00145255">
      <w:pPr>
        <w:spacing w:after="240"/>
      </w:pPr>
      <w:r>
        <w:t xml:space="preserve">However, </w:t>
      </w:r>
      <w:r w:rsidR="009963D7">
        <w:t>in RAN4 #106</w:t>
      </w:r>
      <w:r w:rsidR="006002AB">
        <w:t> </w:t>
      </w:r>
      <w:r w:rsidR="006002AB">
        <w:fldChar w:fldCharType="begin"/>
      </w:r>
      <w:r w:rsidR="006002AB">
        <w:instrText xml:space="preserve"> REF _Ref146901820 \r \h </w:instrText>
      </w:r>
      <w:r w:rsidR="006002AB">
        <w:fldChar w:fldCharType="separate"/>
      </w:r>
      <w:r w:rsidR="007B07D5">
        <w:t>[2]</w:t>
      </w:r>
      <w:r w:rsidR="006002AB">
        <w:fldChar w:fldCharType="end"/>
      </w:r>
      <w:r w:rsidR="009963D7">
        <w:t xml:space="preserve">, </w:t>
      </w:r>
      <w:r>
        <w:t>RAN4 agreed to not differentiate between synchronous and asynchronous measurements and then RAN1 should honour that</w:t>
      </w:r>
      <w:r w:rsidR="009963D7">
        <w:t xml:space="preserve">, see </w:t>
      </w:r>
      <w:r w:rsidR="009963D7" w:rsidRPr="00DF5DFB">
        <w:t>below</w:t>
      </w:r>
      <w:r w:rsidRPr="00DF5DFB">
        <w:t>.</w:t>
      </w:r>
    </w:p>
    <w:p w14:paraId="021347D3" w14:textId="77777777" w:rsidR="009963D7" w:rsidRPr="009963D7" w:rsidRDefault="009963D7" w:rsidP="009963D7">
      <w:pPr>
        <w:spacing w:before="100" w:beforeAutospacing="1" w:after="240" w:line="240" w:lineRule="auto"/>
        <w:ind w:left="360"/>
        <w:jc w:val="left"/>
        <w:rPr>
          <w:rFonts w:ascii="Times New Roman" w:eastAsia="Times New Roman" w:hAnsi="Times New Roman" w:cs="Times New Roman"/>
          <w:sz w:val="24"/>
          <w:szCs w:val="24"/>
        </w:rPr>
      </w:pPr>
      <w:r w:rsidRPr="009963D7">
        <w:rPr>
          <w:rFonts w:ascii="Times New Roman" w:eastAsia="Times New Roman" w:hAnsi="Times New Roman" w:cs="Times New Roman"/>
          <w:b/>
          <w:sz w:val="24"/>
          <w:szCs w:val="24"/>
        </w:rPr>
        <w:t>&lt;Agreement&gt;:</w:t>
      </w:r>
    </w:p>
    <w:p w14:paraId="5C23C9FA" w14:textId="5D4F93D9" w:rsidR="009963D7" w:rsidRPr="009963D7" w:rsidRDefault="009963D7" w:rsidP="009963D7">
      <w:pPr>
        <w:numPr>
          <w:ilvl w:val="0"/>
          <w:numId w:val="26"/>
        </w:numPr>
        <w:spacing w:before="100" w:beforeAutospacing="1" w:after="100" w:afterAutospacing="1" w:line="240" w:lineRule="auto"/>
        <w:jc w:val="left"/>
        <w:rPr>
          <w:rFonts w:ascii="Times New Roman" w:eastAsia="Times New Roman" w:hAnsi="Times New Roman" w:cs="Times New Roman"/>
          <w:sz w:val="24"/>
          <w:szCs w:val="24"/>
        </w:rPr>
      </w:pPr>
      <w:r w:rsidRPr="009963D7">
        <w:rPr>
          <w:rFonts w:ascii="Times New Roman" w:eastAsia="Times New Roman" w:hAnsi="Times New Roman" w:cs="Times New Roman"/>
          <w:sz w:val="24"/>
          <w:szCs w:val="24"/>
        </w:rPr>
        <w:lastRenderedPageBreak/>
        <w:t>It is unnecessary to define sync and async scenarios for LTM requirements.</w:t>
      </w:r>
    </w:p>
    <w:p w14:paraId="7A277478" w14:textId="053A6390" w:rsidR="00145255" w:rsidRDefault="00145255" w:rsidP="009963D7">
      <w:pPr>
        <w:spacing w:before="240" w:after="240"/>
      </w:pPr>
      <w:r>
        <w:t xml:space="preserve">Hence, </w:t>
      </w:r>
      <w:r w:rsidR="00DF5DFB">
        <w:t xml:space="preserve">RAN 1 only needs to differentiate between </w:t>
      </w:r>
      <w:r>
        <w:t>intra-</w:t>
      </w:r>
      <w:r w:rsidR="00DF5DFB">
        <w:t>frequency</w:t>
      </w:r>
      <w:r>
        <w:t xml:space="preserve"> and inter-frequenc</w:t>
      </w:r>
      <w:r w:rsidR="00DF5DFB">
        <w:t>y</w:t>
      </w:r>
      <w:r>
        <w:t xml:space="preserve"> </w:t>
      </w:r>
      <w:r w:rsidR="00DF5DFB">
        <w:t xml:space="preserve">as well as among the different combinations of </w:t>
      </w:r>
      <w:r>
        <w:t>reporting types</w:t>
      </w:r>
      <w:r w:rsidR="00DF5DFB">
        <w:t xml:space="preserve"> and their respectively associated channels</w:t>
      </w:r>
      <w:r>
        <w:t>.</w:t>
      </w:r>
    </w:p>
    <w:p w14:paraId="34AAA983" w14:textId="0ECDC30F" w:rsidR="00454A89" w:rsidRPr="00454A89" w:rsidRDefault="00454A89" w:rsidP="00454A89">
      <w:pPr>
        <w:pStyle w:val="Observation"/>
      </w:pPr>
      <w:bookmarkStart w:id="3" w:name="_Toc146901847"/>
      <w:r w:rsidRPr="00454A89">
        <w:t>A low complex implementation of mobility enhancements would allow for a wider spread of the featu</w:t>
      </w:r>
      <w:r>
        <w:t>r</w:t>
      </w:r>
      <w:r w:rsidRPr="00454A89">
        <w:t>e.</w:t>
      </w:r>
      <w:bookmarkEnd w:id="3"/>
    </w:p>
    <w:p w14:paraId="5D020EA7" w14:textId="77777777" w:rsidR="00824FA5" w:rsidRDefault="00824FA5" w:rsidP="00824FA5">
      <w:pPr>
        <w:pStyle w:val="Proposal"/>
      </w:pPr>
      <w:bookmarkStart w:id="4" w:name="_Ref146547048"/>
      <w:bookmarkStart w:id="5" w:name="_Toc146901851"/>
      <w:r>
        <w:t>Split FG 45-1 to allow a minimalistic mobility enhancements implementation including,</w:t>
      </w:r>
      <w:bookmarkEnd w:id="4"/>
      <w:bookmarkEnd w:id="5"/>
    </w:p>
    <w:p w14:paraId="150FBFA6" w14:textId="789FA923" w:rsidR="00824FA5" w:rsidRPr="00FC5FA6" w:rsidRDefault="00824FA5" w:rsidP="00FC5FA6">
      <w:pPr>
        <w:pStyle w:val="Proposal"/>
        <w:numPr>
          <w:ilvl w:val="1"/>
          <w:numId w:val="3"/>
        </w:numPr>
      </w:pPr>
      <w:bookmarkStart w:id="6" w:name="_Toc146901852"/>
      <w:r w:rsidRPr="0055642E">
        <w:t>Intra-frequency</w:t>
      </w:r>
      <w:r>
        <w:t xml:space="preserve"> measurements</w:t>
      </w:r>
      <w:r w:rsidRPr="00FC5FA6">
        <w:t>, and</w:t>
      </w:r>
      <w:bookmarkEnd w:id="6"/>
    </w:p>
    <w:p w14:paraId="18380F6F" w14:textId="77777777" w:rsidR="00824FA5" w:rsidRDefault="00824FA5" w:rsidP="00824FA5">
      <w:pPr>
        <w:pStyle w:val="Proposal"/>
        <w:numPr>
          <w:ilvl w:val="1"/>
          <w:numId w:val="3"/>
        </w:numPr>
      </w:pPr>
      <w:bookmarkStart w:id="7" w:name="_Toc146901853"/>
      <w:r>
        <w:t>Aperiodic reporting on PUSCH.</w:t>
      </w:r>
      <w:bookmarkEnd w:id="7"/>
    </w:p>
    <w:p w14:paraId="39B4DDC8" w14:textId="3EC32F51" w:rsidR="00824FA5" w:rsidRDefault="00824FA5" w:rsidP="00824FA5">
      <w:r w:rsidRPr="0055642E">
        <w:t xml:space="preserve">Additional FGs resulting from such a split </w:t>
      </w:r>
      <w:r>
        <w:t>would include inter-frequency measurements and periodic reporting on PUCCH and semi-persistent reporting on PUCCH/PUSCH that each would result in a new FG.</w:t>
      </w:r>
      <w:r w:rsidR="00742DF3">
        <w:t xml:space="preserve"> </w:t>
      </w:r>
    </w:p>
    <w:p w14:paraId="6AAD0DEE" w14:textId="77777777" w:rsidR="00824FA5" w:rsidRDefault="00824FA5" w:rsidP="00824FA5">
      <w:pPr>
        <w:pStyle w:val="Proposal"/>
      </w:pPr>
      <w:bookmarkStart w:id="8" w:name="_Ref146547062"/>
      <w:bookmarkStart w:id="9" w:name="_Toc146901854"/>
      <w:r>
        <w:t>Introduce new FGs for</w:t>
      </w:r>
      <w:bookmarkEnd w:id="8"/>
      <w:bookmarkEnd w:id="9"/>
    </w:p>
    <w:p w14:paraId="6C040860" w14:textId="4E85B0D9" w:rsidR="00824FA5" w:rsidRPr="00FC5FA6" w:rsidRDefault="00824FA5" w:rsidP="00FC5FA6">
      <w:pPr>
        <w:pStyle w:val="Proposal"/>
        <w:numPr>
          <w:ilvl w:val="1"/>
          <w:numId w:val="3"/>
        </w:numPr>
      </w:pPr>
      <w:bookmarkStart w:id="10" w:name="_Toc146901855"/>
      <w:r>
        <w:t>Inter-frequency measurements</w:t>
      </w:r>
      <w:r w:rsidRPr="00FC5FA6">
        <w:t>, and</w:t>
      </w:r>
      <w:bookmarkEnd w:id="10"/>
    </w:p>
    <w:p w14:paraId="71C24861" w14:textId="4CD92753" w:rsidR="00824FA5" w:rsidRPr="0055642E" w:rsidRDefault="00824FA5" w:rsidP="00824FA5">
      <w:pPr>
        <w:pStyle w:val="Proposal"/>
        <w:numPr>
          <w:ilvl w:val="1"/>
          <w:numId w:val="3"/>
        </w:numPr>
      </w:pPr>
      <w:bookmarkStart w:id="11" w:name="_Toc146901856"/>
      <w:r>
        <w:t>Periodic reporting on PUCCH and semi-persistent reporting on PUCCH/PUSCH.</w:t>
      </w:r>
      <w:bookmarkEnd w:id="11"/>
    </w:p>
    <w:p w14:paraId="09553989" w14:textId="3202C2F2" w:rsidR="00953E20" w:rsidRDefault="00953E20" w:rsidP="00E4271B">
      <w:r>
        <w:t>We note that in Rel-15, different FGs were introduced for the various reporting configurations (FG 2-21, 2-22, 2-23, 2-23a). For L1-SINR reporting in Rel-16, two new FG were introduced for semi-persistent reporting (FG 16-1a-4, 16-1a-5). In Rel-17, when inter-cell reporting was introduced, no new FGs were introduced.</w:t>
      </w:r>
    </w:p>
    <w:p w14:paraId="41E38831" w14:textId="7C635232" w:rsidR="003F5B1C" w:rsidRPr="00E4271B" w:rsidRDefault="00824FA5" w:rsidP="00E4271B">
      <w:r>
        <w:t>Presently,</w:t>
      </w:r>
      <w:r w:rsidR="003F5B1C">
        <w:t xml:space="preserve"> FG 45-1 </w:t>
      </w:r>
      <w:r w:rsidR="00DF5DFB">
        <w:t>ha</w:t>
      </w:r>
      <w:r w:rsidR="003F5B1C">
        <w:t xml:space="preserve">s become a </w:t>
      </w:r>
      <w:proofErr w:type="spellStart"/>
      <w:r w:rsidR="003F5B1C">
        <w:t>sm</w:t>
      </w:r>
      <w:r w:rsidR="00454A89">
        <w:t>ö</w:t>
      </w:r>
      <w:r w:rsidR="003F5B1C">
        <w:t>rg</w:t>
      </w:r>
      <w:r w:rsidR="00454A89">
        <w:t>å</w:t>
      </w:r>
      <w:r w:rsidR="003F5B1C">
        <w:t>sbord</w:t>
      </w:r>
      <w:proofErr w:type="spellEnd"/>
      <w:r w:rsidR="003F5B1C">
        <w:t xml:space="preserve"> of features</w:t>
      </w:r>
      <w:r>
        <w:t>, albeit not yet agreed</w:t>
      </w:r>
      <w:r w:rsidR="003F5B1C">
        <w:t>. We think the scope should be narrowed down to focus on #SSB resources and measurement capabilities.</w:t>
      </w:r>
      <w:r w:rsidR="002A08B0">
        <w:t xml:space="preserve"> </w:t>
      </w:r>
      <w:r>
        <w:t xml:space="preserve">In our understanding, the limiting factor from an implementation perspective is not the number of cells as is now the case for Component 2 but the combination of configured cells and configured beams. As a result, there are multiple components with </w:t>
      </w:r>
      <w:r w:rsidR="009211AF">
        <w:t xml:space="preserve">somewhat </w:t>
      </w:r>
      <w:r>
        <w:t>similar content, e.g., Component 2 and Component 3.</w:t>
      </w:r>
    </w:p>
    <w:p w14:paraId="47111306" w14:textId="1C41B6A2" w:rsidR="0049764F" w:rsidRPr="00A159AF" w:rsidRDefault="0049764F" w:rsidP="0055642E">
      <w:pPr>
        <w:pStyle w:val="Proposal"/>
        <w:rPr>
          <w:lang w:eastAsia="ja-JP"/>
        </w:rPr>
      </w:pPr>
      <w:bookmarkStart w:id="12" w:name="_Toc146901857"/>
      <w:r w:rsidRPr="005868B3">
        <w:t>F</w:t>
      </w:r>
      <w:r w:rsidR="00824FA5" w:rsidRPr="005868B3">
        <w:t>or FG 45-1, f</w:t>
      </w:r>
      <w:r w:rsidRPr="005868B3">
        <w:t xml:space="preserve">ocus </w:t>
      </w:r>
      <w:r w:rsidR="00824FA5" w:rsidRPr="005868B3">
        <w:t>c</w:t>
      </w:r>
      <w:r w:rsidR="002A08B0" w:rsidRPr="005868B3">
        <w:t xml:space="preserve">omponents </w:t>
      </w:r>
      <w:r w:rsidRPr="005868B3">
        <w:t>on #SSB resources</w:t>
      </w:r>
      <w:r w:rsidR="00824FA5" w:rsidRPr="005868B3">
        <w:t xml:space="preserve"> (cells</w:t>
      </w:r>
      <w:r w:rsidR="005868B3">
        <w:t>,</w:t>
      </w:r>
      <w:r w:rsidR="00824FA5" w:rsidRPr="005868B3">
        <w:t xml:space="preserve"> beams)</w:t>
      </w:r>
      <w:r w:rsidRPr="005868B3">
        <w:t xml:space="preserve"> and </w:t>
      </w:r>
      <w:r w:rsidR="009211AF" w:rsidRPr="005868B3">
        <w:t>reporting</w:t>
      </w:r>
      <w:r w:rsidRPr="005868B3">
        <w:t xml:space="preserve"> capabilities</w:t>
      </w:r>
      <w:r w:rsidR="003F5B1C">
        <w:t>.</w:t>
      </w:r>
      <w:bookmarkEnd w:id="12"/>
    </w:p>
    <w:p w14:paraId="6E8514F0" w14:textId="46FB10A0" w:rsidR="00454A89" w:rsidRPr="00A60EEC" w:rsidRDefault="00454A89" w:rsidP="0055642E">
      <w:r>
        <w:t xml:space="preserve">A consequence of the above proposal </w:t>
      </w:r>
      <w:r w:rsidR="00DF5DFB">
        <w:t>regarding</w:t>
      </w:r>
      <w:r>
        <w:t xml:space="preserve"> a major overhaul of FG 45-1 is that Component 1 should focus on intra-frequency measurements and reporting. For that reason, the following detailed changes are proposed for Component 1:</w:t>
      </w:r>
    </w:p>
    <w:p w14:paraId="19B4912F" w14:textId="50A96F77" w:rsidR="00A159AF" w:rsidRDefault="003B12C2" w:rsidP="00EF685B">
      <w:pPr>
        <w:pStyle w:val="Proposal"/>
      </w:pPr>
      <w:bookmarkStart w:id="13" w:name="_Toc146901858"/>
      <w:r>
        <w:t>For FG 45-1, C</w:t>
      </w:r>
      <w:r w:rsidR="00742DF3">
        <w:t xml:space="preserve">omponent </w:t>
      </w:r>
      <w:r>
        <w:t xml:space="preserve">1, </w:t>
      </w:r>
      <w:r w:rsidR="00824FA5">
        <w:t>keep ‘intra-frequency’, remove ‘</w:t>
      </w:r>
      <w:r w:rsidR="00DF5DFB">
        <w:t xml:space="preserve">synchronous and </w:t>
      </w:r>
      <w:r w:rsidR="00824FA5">
        <w:t>asynchronous’ and ‘inter-frequency’</w:t>
      </w:r>
      <w:r>
        <w:t>.</w:t>
      </w:r>
      <w:bookmarkEnd w:id="13"/>
    </w:p>
    <w:p w14:paraId="30F50BDB" w14:textId="4DBC742C" w:rsidR="005959D1" w:rsidRDefault="00954119" w:rsidP="0055642E">
      <w:r>
        <w:t xml:space="preserve">Component 2 indicates UE limitations </w:t>
      </w:r>
      <w:r w:rsidR="002E4D2A">
        <w:t>regarding</w:t>
      </w:r>
      <w:r>
        <w:t xml:space="preserve"> number of cells. </w:t>
      </w:r>
      <w:r w:rsidR="005959D1">
        <w:t>In our understanding, this component relates to the number of simultaneous</w:t>
      </w:r>
      <w:r w:rsidR="00DF5DFB">
        <w:t>ly supported</w:t>
      </w:r>
      <w:r w:rsidR="005959D1">
        <w:t xml:space="preserve"> SSB sequences </w:t>
      </w:r>
      <w:r w:rsidR="00DF5DFB">
        <w:t xml:space="preserve">in </w:t>
      </w:r>
      <w:r w:rsidR="005959D1">
        <w:t xml:space="preserve">the UE. Considering mobility can involve both </w:t>
      </w:r>
      <w:r w:rsidR="00265B25">
        <w:t>the same and different spectrum, including different bands, it is desirable to support a wide range of numbers.</w:t>
      </w:r>
    </w:p>
    <w:p w14:paraId="38BEBF1F" w14:textId="1F597B97" w:rsidR="00A159AF" w:rsidRDefault="00265B25" w:rsidP="00EF685B">
      <w:pPr>
        <w:pStyle w:val="Proposal"/>
      </w:pPr>
      <w:bookmarkStart w:id="14" w:name="_Toc146901859"/>
      <w:r>
        <w:t>For FG 45-1, C</w:t>
      </w:r>
      <w:r w:rsidR="00742DF3">
        <w:t xml:space="preserve">omponent </w:t>
      </w:r>
      <w:r>
        <w:t>2, support component values {1, 2, 3, 4, 5, 6, 7, 8}.</w:t>
      </w:r>
      <w:bookmarkEnd w:id="14"/>
    </w:p>
    <w:p w14:paraId="4E564D86" w14:textId="6FDB85E4" w:rsidR="00145255" w:rsidRDefault="00953E20" w:rsidP="0055642E">
      <w:r>
        <w:t xml:space="preserve">We note that in practice, limiting the number of candidate cells that can be reported will limit the number of candidate cells that can be configured. </w:t>
      </w:r>
      <w:r w:rsidR="00145255">
        <w:t>In legacy measurement specification</w:t>
      </w:r>
      <w:r w:rsidR="009963D7">
        <w:t>s there are clear partitions of responsibilities among different WGs.</w:t>
      </w:r>
      <w:r w:rsidR="00145255">
        <w:t xml:space="preserve"> RAN1 is responsible for reporting and RAN4 for measurements.</w:t>
      </w:r>
      <w:r w:rsidR="009963D7">
        <w:t xml:space="preserve"> Component 3 is related to measurement capabilities and is for that reason a RAN4 responsibility. RAN1 should avoid infringing on other WGs responsibilities and Component 3 should be deleted.</w:t>
      </w:r>
    </w:p>
    <w:p w14:paraId="61DC5D2A" w14:textId="1E2D411A" w:rsidR="00A159AF" w:rsidRDefault="00FC5FA6" w:rsidP="00EF685B">
      <w:pPr>
        <w:pStyle w:val="Proposal"/>
      </w:pPr>
      <w:bookmarkStart w:id="15" w:name="_Toc146901860"/>
      <w:r>
        <w:t>FG 45-1, Component 3 is RAN4’s responsibility</w:t>
      </w:r>
      <w:r w:rsidR="00223F49">
        <w:t xml:space="preserve"> and can be deleted</w:t>
      </w:r>
      <w:r>
        <w:t>.</w:t>
      </w:r>
      <w:bookmarkEnd w:id="15"/>
    </w:p>
    <w:p w14:paraId="679E51E1" w14:textId="7DFEE5CE" w:rsidR="00953E20" w:rsidRDefault="00953E20" w:rsidP="0055642E">
      <w:r>
        <w:t>As already noted, Component 2 in FG 45-1 provides the same functionality</w:t>
      </w:r>
      <w:r w:rsidR="00096F2B">
        <w:t>, so it would anyway seem redundant</w:t>
      </w:r>
      <w:r>
        <w:t>.</w:t>
      </w:r>
    </w:p>
    <w:p w14:paraId="0D9ADD13" w14:textId="6539A2D8" w:rsidR="004342E0" w:rsidRDefault="00562C4C" w:rsidP="0055642E">
      <w:r>
        <w:t>When considering the number of cells that are supported for measurement reporting, the minimum number will depend o</w:t>
      </w:r>
      <w:r w:rsidR="00953E20">
        <w:t>n</w:t>
      </w:r>
      <w:r>
        <w:t xml:space="preserve"> whether the </w:t>
      </w:r>
      <w:proofErr w:type="spellStart"/>
      <w:r>
        <w:t>SpCell</w:t>
      </w:r>
      <w:proofErr w:type="spellEnd"/>
      <w:r>
        <w:t xml:space="preserve"> is included in the reporting or not. Reporting a measurement on a single cell may be useful unless that cell is the </w:t>
      </w:r>
      <w:proofErr w:type="spellStart"/>
      <w:r>
        <w:t>SpCell</w:t>
      </w:r>
      <w:proofErr w:type="spellEnd"/>
      <w:r>
        <w:t xml:space="preserve">, in which case it doesn’t. Additionally, supporting reporting on </w:t>
      </w:r>
      <w:r>
        <w:lastRenderedPageBreak/>
        <w:t>a single cell risk restricting the usefulness of the feature in a way that is undesirable. Hence, a UE should support reporting at least two cells</w:t>
      </w:r>
      <w:r w:rsidR="00D112FB">
        <w:t>.</w:t>
      </w:r>
    </w:p>
    <w:p w14:paraId="1B45FFE4" w14:textId="6F65152C" w:rsidR="00D112FB" w:rsidRDefault="00D112FB" w:rsidP="0055642E">
      <w:r>
        <w:t>For the reporting of cell-beam combinations, three bits will allow all possible combinations of the proposed numbers of cells and beams and further restrictions will not make any substantial difference.</w:t>
      </w:r>
    </w:p>
    <w:p w14:paraId="35A37F0D" w14:textId="56262CB1" w:rsidR="00A159AF" w:rsidRDefault="009F5A93" w:rsidP="00EF685B">
      <w:pPr>
        <w:pStyle w:val="Proposal"/>
      </w:pPr>
      <w:bookmarkStart w:id="16" w:name="_Toc146901861"/>
      <w:r>
        <w:t xml:space="preserve">For FG 45-1, </w:t>
      </w:r>
      <w:r w:rsidR="00646574">
        <w:t>Component 4</w:t>
      </w:r>
      <w:r>
        <w:t xml:space="preserve">, support component values L = </w:t>
      </w:r>
      <w:r w:rsidR="00A375DE">
        <w:t>{</w:t>
      </w:r>
      <w:r>
        <w:t>2, 3, 4</w:t>
      </w:r>
      <w:r w:rsidR="00A375DE">
        <w:t>}</w:t>
      </w:r>
      <w:r>
        <w:t xml:space="preserve"> and M </w:t>
      </w:r>
      <w:r w:rsidRPr="009F5A93">
        <w:sym w:font="Symbol" w:char="F0B4"/>
      </w:r>
      <w:r>
        <w:t xml:space="preserve"> L= </w:t>
      </w:r>
      <w:r w:rsidR="00A375DE">
        <w:t>{</w:t>
      </w:r>
      <w:r>
        <w:t>2 3 4 6 8 9 12 16</w:t>
      </w:r>
      <w:r w:rsidR="00A375DE">
        <w:t>}</w:t>
      </w:r>
      <w:r>
        <w:t>.</w:t>
      </w:r>
      <w:bookmarkEnd w:id="16"/>
    </w:p>
    <w:p w14:paraId="41FECA39" w14:textId="7F5C34E9" w:rsidR="00A375DE" w:rsidRDefault="00FC5FA6" w:rsidP="0055642E">
      <w:r>
        <w:t>The value range of Component 5 is related to whether the FG is specified per band or per band combination.</w:t>
      </w:r>
      <w:r w:rsidR="00E5129C">
        <w:t xml:space="preserve"> </w:t>
      </w:r>
      <w:r w:rsidR="009E7DCE">
        <w:t>However, even for ‘</w:t>
      </w:r>
      <w:r w:rsidR="00E5129C">
        <w:t>per band</w:t>
      </w:r>
      <w:r w:rsidR="009E7DCE">
        <w:t>’</w:t>
      </w:r>
      <w:r w:rsidR="00E5129C">
        <w:t>,</w:t>
      </w:r>
      <w:r w:rsidR="009E7DCE">
        <w:t xml:space="preserve"> 2 SSBs per slot and carrier may be combined with multiple carriers. A not uncommon configuration is 8 carriers in a band, for which reason up to 16 SSB resources are justified.</w:t>
      </w:r>
    </w:p>
    <w:p w14:paraId="5C4DEFEF" w14:textId="52CB2727" w:rsidR="00A159AF" w:rsidRDefault="00A375DE" w:rsidP="00FA5DB9">
      <w:pPr>
        <w:pStyle w:val="Proposal"/>
      </w:pPr>
      <w:bookmarkStart w:id="17" w:name="_Toc146901862"/>
      <w:r>
        <w:t xml:space="preserve">For FG45-1, </w:t>
      </w:r>
      <w:r w:rsidR="00646574">
        <w:t>Component 5</w:t>
      </w:r>
      <w:r>
        <w:t>, support values {1, 2, 4</w:t>
      </w:r>
      <w:r w:rsidR="00047ADB">
        <w:t>, 8, 16</w:t>
      </w:r>
      <w:r>
        <w:t>}</w:t>
      </w:r>
      <w:r w:rsidR="007260B7">
        <w:t>.</w:t>
      </w:r>
      <w:bookmarkEnd w:id="17"/>
    </w:p>
    <w:p w14:paraId="2010A01C" w14:textId="40B6AB8A" w:rsidR="00E5129C" w:rsidRPr="00E5129C" w:rsidRDefault="00E5129C" w:rsidP="00DA49ED">
      <w:r>
        <w:t xml:space="preserve">Legacy reporting differentiates among aperiodic, semi-persistent and periodic reporting, and the channels that are used for respective reporting, in that they are allocated different FGs. Reporting for mobility enhancements should adhere to legacy practice. </w:t>
      </w:r>
      <w:r w:rsidR="00DA49ED">
        <w:t xml:space="preserve">In FG 45-1, </w:t>
      </w:r>
      <w:r w:rsidR="00047ADB">
        <w:t>which</w:t>
      </w:r>
      <w:r w:rsidR="00DA49ED">
        <w:t xml:space="preserve"> will represent the </w:t>
      </w:r>
      <w:r>
        <w:t>baseline</w:t>
      </w:r>
      <w:r w:rsidR="00DA49ED">
        <w:t xml:space="preserve"> of the mobility enhancements</w:t>
      </w:r>
      <w:r>
        <w:t>, only aperiodic reporting on PU</w:t>
      </w:r>
      <w:r w:rsidR="00047ADB">
        <w:t>S</w:t>
      </w:r>
      <w:r>
        <w:t xml:space="preserve">CH </w:t>
      </w:r>
      <w:r w:rsidR="00DA49ED">
        <w:t xml:space="preserve">should </w:t>
      </w:r>
      <w:r>
        <w:t>be supported</w:t>
      </w:r>
      <w:r w:rsidR="00DA49ED">
        <w:t xml:space="preserve"> </w:t>
      </w:r>
      <w:r w:rsidR="00EF685B">
        <w:t xml:space="preserve">in Component 7 </w:t>
      </w:r>
      <w:r w:rsidR="00DA49ED">
        <w:t xml:space="preserve">and </w:t>
      </w:r>
      <w:r w:rsidR="00EF685B" w:rsidRPr="00EF685B">
        <w:t>periodic reporting on PUCCH</w:t>
      </w:r>
      <w:r w:rsidR="00EF685B">
        <w:t xml:space="preserve"> and </w:t>
      </w:r>
      <w:r w:rsidR="00EF685B" w:rsidRPr="00EF685B">
        <w:t xml:space="preserve">semi-persistent reporting on PUCCH/PUSCH </w:t>
      </w:r>
      <w:r w:rsidR="00DA49ED">
        <w:t>should be moved into separate FGs.</w:t>
      </w:r>
    </w:p>
    <w:p w14:paraId="0A87CC12" w14:textId="2F1A974A" w:rsidR="00F35A2F" w:rsidRDefault="001E60E8" w:rsidP="001E60E8">
      <w:pPr>
        <w:pStyle w:val="Observation"/>
      </w:pPr>
      <w:bookmarkStart w:id="18" w:name="_Toc146901848"/>
      <w:r>
        <w:t xml:space="preserve">The present version of FG 45-1, </w:t>
      </w:r>
      <w:r w:rsidR="00646574">
        <w:t>Component 7</w:t>
      </w:r>
      <w:r>
        <w:t xml:space="preserve"> differs significantly from </w:t>
      </w:r>
      <w:r w:rsidR="00047ADB">
        <w:t>Rel-15</w:t>
      </w:r>
      <w:r>
        <w:t xml:space="preserve"> reporting in including all reporting capabilities in one component of one FG.</w:t>
      </w:r>
      <w:bookmarkEnd w:id="18"/>
    </w:p>
    <w:p w14:paraId="65902691" w14:textId="475D63CD" w:rsidR="00971728" w:rsidRPr="000E1B63" w:rsidRDefault="001E60E8" w:rsidP="0055642E">
      <w:pPr>
        <w:pStyle w:val="Proposal"/>
      </w:pPr>
      <w:bookmarkStart w:id="19" w:name="_Toc146901863"/>
      <w:r w:rsidRPr="000E1B63">
        <w:t xml:space="preserve">For FG 45-1, </w:t>
      </w:r>
      <w:r w:rsidR="00646574">
        <w:t>Component 7</w:t>
      </w:r>
      <w:r w:rsidRPr="000E1B63">
        <w:t xml:space="preserve">, only include </w:t>
      </w:r>
      <w:r w:rsidR="00242A6E" w:rsidRPr="000E1B63">
        <w:t>‘</w:t>
      </w:r>
      <w:r w:rsidRPr="000E1B63">
        <w:t>aperiodic reporting on PU</w:t>
      </w:r>
      <w:r w:rsidR="00047ADB">
        <w:t>S</w:t>
      </w:r>
      <w:r w:rsidRPr="000E1B63">
        <w:t>CH</w:t>
      </w:r>
      <w:r w:rsidR="00242A6E" w:rsidRPr="000E1B63">
        <w:t>’</w:t>
      </w:r>
      <w:r w:rsidRPr="000E1B63">
        <w:t xml:space="preserve"> and move </w:t>
      </w:r>
      <w:r w:rsidR="00EF685B">
        <w:t>‘</w:t>
      </w:r>
      <w:r w:rsidR="00EF685B" w:rsidRPr="00EF685B">
        <w:t>periodic reporting on PUCCH</w:t>
      </w:r>
      <w:r w:rsidR="00EF685B">
        <w:t>’ and ‘</w:t>
      </w:r>
      <w:r w:rsidR="00EF685B" w:rsidRPr="00EF685B">
        <w:t>semi-persistent reporting on PUCCH/PUSCH</w:t>
      </w:r>
      <w:r w:rsidR="00EF685B">
        <w:t>’</w:t>
      </w:r>
      <w:r w:rsidRPr="000E1B63">
        <w:t xml:space="preserve"> to separate FGs.</w:t>
      </w:r>
      <w:bookmarkEnd w:id="19"/>
    </w:p>
    <w:p w14:paraId="75AB9686" w14:textId="66431D31" w:rsidR="000E22D7" w:rsidRDefault="000E22D7" w:rsidP="00F63950">
      <w:pPr>
        <w:pStyle w:val="Heading2"/>
      </w:pPr>
      <w:r>
        <w:t>FG 45-2</w:t>
      </w:r>
    </w:p>
    <w:p w14:paraId="37C3BF23" w14:textId="7167BBA4" w:rsidR="00C51403" w:rsidRDefault="00C51403" w:rsidP="0055642E">
      <w:r>
        <w:t xml:space="preserve">Previous agreements state that </w:t>
      </w:r>
      <w:r w:rsidR="00777FBE">
        <w:t xml:space="preserve">inclusion of </w:t>
      </w:r>
      <w:proofErr w:type="spellStart"/>
      <w:r>
        <w:t>SpCell</w:t>
      </w:r>
      <w:proofErr w:type="spellEnd"/>
      <w:r>
        <w:t xml:space="preserve"> measurements </w:t>
      </w:r>
      <w:proofErr w:type="gramStart"/>
      <w:r>
        <w:t>are</w:t>
      </w:r>
      <w:proofErr w:type="gramEnd"/>
      <w:r>
        <w:t xml:space="preserve"> based on UE capability. </w:t>
      </w:r>
      <w:r w:rsidR="00777FBE">
        <w:t xml:space="preserve">In our understanding, this refers to </w:t>
      </w:r>
      <w:r w:rsidR="00D51927">
        <w:t xml:space="preserve">the UE giving </w:t>
      </w:r>
      <w:r w:rsidR="00777FBE">
        <w:t xml:space="preserve">special treatment </w:t>
      </w:r>
      <w:r w:rsidR="00D51927">
        <w:t>to</w:t>
      </w:r>
      <w:r w:rsidR="00777FBE">
        <w:t xml:space="preserve"> the </w:t>
      </w:r>
      <w:proofErr w:type="spellStart"/>
      <w:r w:rsidR="00777FBE">
        <w:t>SpCell</w:t>
      </w:r>
      <w:proofErr w:type="spellEnd"/>
      <w:r w:rsidR="00777FBE">
        <w:t xml:space="preserve"> in relation to other candidate cells. </w:t>
      </w:r>
      <w:r>
        <w:t xml:space="preserve">Hence, </w:t>
      </w:r>
      <w:r w:rsidR="00777FBE">
        <w:t xml:space="preserve">on the one hand, the network cannot assume that </w:t>
      </w:r>
      <w:proofErr w:type="spellStart"/>
      <w:r>
        <w:t>SpCell</w:t>
      </w:r>
      <w:proofErr w:type="spellEnd"/>
      <w:r>
        <w:t xml:space="preserve"> measurements </w:t>
      </w:r>
      <w:r w:rsidR="00777FBE">
        <w:t>are always</w:t>
      </w:r>
      <w:r>
        <w:t xml:space="preserve"> included</w:t>
      </w:r>
      <w:r w:rsidR="00A152FD">
        <w:t>.</w:t>
      </w:r>
      <w:r w:rsidR="000F4874">
        <w:t xml:space="preserve"> </w:t>
      </w:r>
      <w:r w:rsidR="00777FBE">
        <w:t xml:space="preserve">On the other hand, the </w:t>
      </w:r>
      <w:proofErr w:type="spellStart"/>
      <w:r w:rsidR="00777FBE">
        <w:t>SpCell</w:t>
      </w:r>
      <w:proofErr w:type="spellEnd"/>
      <w:r w:rsidR="00777FBE">
        <w:t xml:space="preserve"> may </w:t>
      </w:r>
      <w:r w:rsidR="00D51927">
        <w:t xml:space="preserve">still </w:t>
      </w:r>
      <w:r w:rsidR="00777FBE">
        <w:t>be an equal candidate for inclusion in a measurement report, and for that reason, may be included even if FG 45-2 is not supported.</w:t>
      </w:r>
      <w:r w:rsidR="00752C3E">
        <w:t xml:space="preserve"> </w:t>
      </w:r>
      <w:proofErr w:type="gramStart"/>
      <w:r w:rsidR="00752C3E">
        <w:t>In order to</w:t>
      </w:r>
      <w:proofErr w:type="gramEnd"/>
      <w:r w:rsidR="00752C3E">
        <w:t xml:space="preserve"> clarify this </w:t>
      </w:r>
      <w:proofErr w:type="spellStart"/>
      <w:r w:rsidR="00752C3E">
        <w:t>behavior</w:t>
      </w:r>
      <w:proofErr w:type="spellEnd"/>
      <w:r w:rsidR="00752C3E">
        <w:t>, we propose the following formulation:</w:t>
      </w:r>
    </w:p>
    <w:p w14:paraId="4559DDD6" w14:textId="45377499" w:rsidR="00C51403" w:rsidRDefault="00446422" w:rsidP="0055642E">
      <w:pPr>
        <w:pStyle w:val="Proposal"/>
      </w:pPr>
      <w:bookmarkStart w:id="20" w:name="_Toc146901864"/>
      <w:r>
        <w:t>Keep</w:t>
      </w:r>
      <w:r w:rsidR="00207AFF">
        <w:t xml:space="preserve"> FG 45-2</w:t>
      </w:r>
      <w:r>
        <w:t xml:space="preserve"> as separate FG, and</w:t>
      </w:r>
      <w:r w:rsidR="008F2E25">
        <w:t>,</w:t>
      </w:r>
      <w:r>
        <w:t xml:space="preserve"> for</w:t>
      </w:r>
      <w:r w:rsidR="00207AFF">
        <w:t xml:space="preserve"> </w:t>
      </w:r>
      <w:r w:rsidR="00646574">
        <w:t>Component 1</w:t>
      </w:r>
      <w:r w:rsidR="00207AFF">
        <w:t xml:space="preserve">, change to </w:t>
      </w:r>
      <w:r w:rsidR="00694334">
        <w:t>‘</w:t>
      </w:r>
      <w:r w:rsidR="00C51403">
        <w:t>Support</w:t>
      </w:r>
      <w:r w:rsidR="00686D4E">
        <w:t xml:space="preserve"> </w:t>
      </w:r>
      <w:r w:rsidR="00C51403">
        <w:t xml:space="preserve">including </w:t>
      </w:r>
      <w:proofErr w:type="spellStart"/>
      <w:r w:rsidR="00C51403">
        <w:t>SpCell</w:t>
      </w:r>
      <w:proofErr w:type="spellEnd"/>
      <w:r w:rsidR="00C51403">
        <w:t xml:space="preserve"> </w:t>
      </w:r>
      <w:r w:rsidR="00D51927">
        <w:t xml:space="preserve">by default </w:t>
      </w:r>
      <w:r w:rsidR="00C51403">
        <w:t>in the L1 measurement report.</w:t>
      </w:r>
      <w:r w:rsidR="00694334">
        <w:t>’</w:t>
      </w:r>
      <w:bookmarkEnd w:id="20"/>
    </w:p>
    <w:p w14:paraId="377297FA" w14:textId="49B0B2B9" w:rsidR="004B176C" w:rsidRDefault="000E22D7" w:rsidP="004B176C">
      <w:pPr>
        <w:pStyle w:val="Heading2"/>
      </w:pPr>
      <w:r>
        <w:t>F</w:t>
      </w:r>
      <w:r w:rsidR="004B176C">
        <w:t>G</w:t>
      </w:r>
      <w:r>
        <w:t xml:space="preserve"> 45-3</w:t>
      </w:r>
      <w:r w:rsidR="00674854">
        <w:t xml:space="preserve"> and FG 45-4</w:t>
      </w:r>
    </w:p>
    <w:p w14:paraId="5F36C177" w14:textId="1E92DB2E" w:rsidR="00A01568" w:rsidRDefault="00A01568" w:rsidP="0055642E">
      <w:r>
        <w:t>Analog to naming of other FGs in mobility enhancements, the name</w:t>
      </w:r>
      <w:r w:rsidR="00674854">
        <w:t>s</w:t>
      </w:r>
      <w:r>
        <w:t xml:space="preserve"> of FG 45-3</w:t>
      </w:r>
      <w:r w:rsidR="00674854">
        <w:t xml:space="preserve"> and FG 45-4</w:t>
      </w:r>
      <w:r>
        <w:t xml:space="preserve"> should also clearly indicate that the TCI states that are referred to are not normal TCI states. This is better presented by a reshuffling of the words in the FG</w:t>
      </w:r>
      <w:r w:rsidR="00674854">
        <w:t>s</w:t>
      </w:r>
      <w:r>
        <w:t xml:space="preserve"> name</w:t>
      </w:r>
      <w:r w:rsidR="00674854">
        <w:t>s</w:t>
      </w:r>
      <w:r>
        <w:t>:</w:t>
      </w:r>
    </w:p>
    <w:p w14:paraId="1949A42F" w14:textId="3E0EAFC4" w:rsidR="00A01568" w:rsidRPr="000E1B63" w:rsidRDefault="00A01568" w:rsidP="00A01568">
      <w:pPr>
        <w:pStyle w:val="Proposal"/>
      </w:pPr>
      <w:bookmarkStart w:id="21" w:name="_Toc146901865"/>
      <w:r>
        <w:t xml:space="preserve">Rename FG 45-3 </w:t>
      </w:r>
      <w:r w:rsidRPr="000E1B63">
        <w:t xml:space="preserve">as </w:t>
      </w:r>
      <w:r w:rsidR="00694334" w:rsidRPr="000E1B63">
        <w:t>‘</w:t>
      </w:r>
      <w:r w:rsidRPr="000E1B63">
        <w:t>Beam indication with joint UL/DL LTM TCI states</w:t>
      </w:r>
      <w:r w:rsidR="00A255BC">
        <w:t>.</w:t>
      </w:r>
      <w:r w:rsidR="00694334" w:rsidRPr="000E1B63">
        <w:t>’</w:t>
      </w:r>
      <w:bookmarkEnd w:id="21"/>
    </w:p>
    <w:p w14:paraId="466809AA" w14:textId="60EE8426" w:rsidR="00674854" w:rsidRDefault="00674854" w:rsidP="00371D1A">
      <w:pPr>
        <w:pStyle w:val="Proposal"/>
      </w:pPr>
      <w:bookmarkStart w:id="22" w:name="_Toc146901866"/>
      <w:r w:rsidRPr="000E1B63">
        <w:t xml:space="preserve">Rename FG 45-4 as </w:t>
      </w:r>
      <w:r w:rsidR="00694334" w:rsidRPr="000E1B63">
        <w:t>‘</w:t>
      </w:r>
      <w:r w:rsidRPr="000E1B63">
        <w:t>Beam indication with separate UL/DL LTM TCI states</w:t>
      </w:r>
      <w:r w:rsidR="00A255BC">
        <w:t>.</w:t>
      </w:r>
      <w:r w:rsidR="00694334" w:rsidRPr="000E1B63">
        <w:t>’</w:t>
      </w:r>
      <w:bookmarkEnd w:id="22"/>
    </w:p>
    <w:p w14:paraId="7593EF60" w14:textId="437ACC1C" w:rsidR="00446422" w:rsidRDefault="00400B9C" w:rsidP="0055642E">
      <w:r>
        <w:t xml:space="preserve">We realize that in legacy, the UE capability on TCI states is per BWP per cell, whereas there is no limitation on the total number of configured TCI states. Hence, this should not be included here either. We thus propose that the corresponding components in 45-3 and 45-4 only describe the candidate TCI states: </w:t>
      </w:r>
    </w:p>
    <w:p w14:paraId="4233024D" w14:textId="58F516A0" w:rsidR="00446422" w:rsidRDefault="007008D4" w:rsidP="0055642E">
      <w:pPr>
        <w:pStyle w:val="Proposal"/>
      </w:pPr>
      <w:bookmarkStart w:id="23" w:name="_Toc146901867"/>
      <w:r>
        <w:t>Rename</w:t>
      </w:r>
      <w:r w:rsidR="00446422">
        <w:t xml:space="preserve"> FG 45-3, </w:t>
      </w:r>
      <w:r w:rsidR="00646574">
        <w:t>Component 2</w:t>
      </w:r>
      <w:r w:rsidR="00446422">
        <w:t xml:space="preserve">, </w:t>
      </w:r>
      <w:r>
        <w:t>as</w:t>
      </w:r>
      <w:r w:rsidR="00446422">
        <w:t xml:space="preserve"> </w:t>
      </w:r>
      <w:r w:rsidR="00694334">
        <w:t>‘</w:t>
      </w:r>
      <w:r w:rsidR="00446422">
        <w:t xml:space="preserve">Maximum number of configured joint LTM TCI state(s) across </w:t>
      </w:r>
      <w:r w:rsidR="00EB3313">
        <w:t xml:space="preserve">all </w:t>
      </w:r>
      <w:r w:rsidR="00446422">
        <w:t>candidate cells.</w:t>
      </w:r>
      <w:r w:rsidR="00694334">
        <w:t>’</w:t>
      </w:r>
      <w:bookmarkEnd w:id="23"/>
    </w:p>
    <w:p w14:paraId="657472F2" w14:textId="0DA84D9C" w:rsidR="007008D4" w:rsidRDefault="007008D4" w:rsidP="00674854">
      <w:pPr>
        <w:pStyle w:val="Proposal"/>
      </w:pPr>
      <w:bookmarkStart w:id="24" w:name="_Toc146901868"/>
      <w:r>
        <w:t xml:space="preserve">Rename FG 45-4, </w:t>
      </w:r>
      <w:r w:rsidR="00646574">
        <w:t>Component 2</w:t>
      </w:r>
      <w:r>
        <w:t xml:space="preserve">, as </w:t>
      </w:r>
      <w:r w:rsidR="00694334">
        <w:t>‘</w:t>
      </w:r>
      <w:r w:rsidRPr="007008D4">
        <w:t xml:space="preserve">Maximum number of configured DL </w:t>
      </w:r>
      <w:r w:rsidR="00E565E1">
        <w:t xml:space="preserve">LTM </w:t>
      </w:r>
      <w:r w:rsidRPr="007008D4">
        <w:t>TCI state(s) across all candidate cells</w:t>
      </w:r>
      <w:r>
        <w:t>.</w:t>
      </w:r>
      <w:r w:rsidR="00694334">
        <w:t>’</w:t>
      </w:r>
      <w:bookmarkEnd w:id="24"/>
    </w:p>
    <w:p w14:paraId="54A10634" w14:textId="57CF1649" w:rsidR="007008D4" w:rsidRDefault="00E565E1" w:rsidP="007008D4">
      <w:pPr>
        <w:pStyle w:val="Proposal"/>
      </w:pPr>
      <w:bookmarkStart w:id="25" w:name="_Toc146901869"/>
      <w:r>
        <w:t>R</w:t>
      </w:r>
      <w:r w:rsidR="007008D4">
        <w:t xml:space="preserve">ename FG 45-4, </w:t>
      </w:r>
      <w:r w:rsidR="00646574">
        <w:t>Component 3</w:t>
      </w:r>
      <w:r w:rsidR="007008D4">
        <w:t xml:space="preserve">, as </w:t>
      </w:r>
      <w:r w:rsidR="00694334">
        <w:t>‘</w:t>
      </w:r>
      <w:r w:rsidR="007008D4" w:rsidRPr="007008D4">
        <w:t xml:space="preserve">Maximum number of configured </w:t>
      </w:r>
      <w:r w:rsidR="007008D4">
        <w:t>U</w:t>
      </w:r>
      <w:r w:rsidR="007008D4" w:rsidRPr="007008D4">
        <w:t xml:space="preserve">L </w:t>
      </w:r>
      <w:r>
        <w:t xml:space="preserve">LTM </w:t>
      </w:r>
      <w:r w:rsidR="007008D4" w:rsidRPr="007008D4">
        <w:t>TCI state(s) across all candidate cells</w:t>
      </w:r>
      <w:r w:rsidR="007008D4">
        <w:t>.</w:t>
      </w:r>
      <w:r w:rsidR="00694334">
        <w:t>’</w:t>
      </w:r>
      <w:bookmarkEnd w:id="25"/>
    </w:p>
    <w:p w14:paraId="0C411362" w14:textId="3ED97B39" w:rsidR="00400B9C" w:rsidRDefault="00400B9C" w:rsidP="00242A6E">
      <w:r>
        <w:lastRenderedPageBreak/>
        <w:t>We also note that if the FG is reported per band, including ‘in a band’ is redundant.</w:t>
      </w:r>
    </w:p>
    <w:p w14:paraId="69D37C31" w14:textId="22A567D6" w:rsidR="00434F3D" w:rsidRDefault="00434F3D" w:rsidP="00242A6E">
      <w:r>
        <w:t xml:space="preserve">Regarding Components 4 and 5, in our understanding, their inclusion </w:t>
      </w:r>
      <w:r w:rsidR="00D5773E">
        <w:t>is</w:t>
      </w:r>
      <w:r>
        <w:t xml:space="preserve"> based on a misunderstanding on how </w:t>
      </w:r>
      <w:r w:rsidR="00EB3313">
        <w:t xml:space="preserve">a </w:t>
      </w:r>
      <w:r>
        <w:t xml:space="preserve">cell switch is performed. At the time when the UE is ready to receive PDCCH and PDSCH from the new cell, it has </w:t>
      </w:r>
      <w:r w:rsidR="00301D0E">
        <w:t xml:space="preserve">already </w:t>
      </w:r>
      <w:r>
        <w:t xml:space="preserve">been configured with new TCI states by the new cell. Hence, </w:t>
      </w:r>
      <w:r w:rsidR="00D5773E">
        <w:t xml:space="preserve">there is no need to configure LTM TCI states as is provided by </w:t>
      </w:r>
      <w:r>
        <w:t xml:space="preserve">Component 4 and </w:t>
      </w:r>
      <w:r w:rsidR="00D5773E">
        <w:t xml:space="preserve">Component </w:t>
      </w:r>
      <w:proofErr w:type="gramStart"/>
      <w:r>
        <w:t>5</w:t>
      </w:r>
      <w:proofErr w:type="gramEnd"/>
      <w:r>
        <w:t xml:space="preserve"> </w:t>
      </w:r>
      <w:r w:rsidR="00D5773E">
        <w:t xml:space="preserve">and they </w:t>
      </w:r>
      <w:r>
        <w:t xml:space="preserve">can </w:t>
      </w:r>
      <w:r w:rsidR="00D5773E">
        <w:t xml:space="preserve">therefore </w:t>
      </w:r>
      <w:r>
        <w:t>be deleted</w:t>
      </w:r>
      <w:r w:rsidR="00D5773E">
        <w:t>.</w:t>
      </w:r>
    </w:p>
    <w:p w14:paraId="6AFE4B20" w14:textId="1AE8C750" w:rsidR="00301D0E" w:rsidRDefault="00301D0E" w:rsidP="00301D0E">
      <w:pPr>
        <w:pStyle w:val="Observation"/>
      </w:pPr>
      <w:bookmarkStart w:id="26" w:name="_Toc146901849"/>
      <w:r>
        <w:t>When the UE is ready to receive PDCCH and PDSCH from a new cell, it has already been configured with new TCI states by the new cell.</w:t>
      </w:r>
      <w:bookmarkEnd w:id="26"/>
    </w:p>
    <w:p w14:paraId="41BF5566" w14:textId="251C5F59" w:rsidR="00446422" w:rsidRPr="00446422" w:rsidRDefault="00D5773E" w:rsidP="0055642E">
      <w:pPr>
        <w:pStyle w:val="Proposal"/>
      </w:pPr>
      <w:bookmarkStart w:id="27" w:name="_Toc146901870"/>
      <w:r>
        <w:t>For FG 45-3</w:t>
      </w:r>
      <w:r w:rsidR="00674854">
        <w:t xml:space="preserve"> and FG 45-4</w:t>
      </w:r>
      <w:r>
        <w:t>, delete Component 4 and Component 5.</w:t>
      </w:r>
      <w:bookmarkEnd w:id="27"/>
    </w:p>
    <w:p w14:paraId="23E14777" w14:textId="78B1C555" w:rsidR="004B176C" w:rsidRDefault="004B176C" w:rsidP="004B176C">
      <w:pPr>
        <w:pStyle w:val="Heading2"/>
      </w:pPr>
      <w:r w:rsidRPr="004B176C">
        <w:t>FG 45-3a</w:t>
      </w:r>
      <w:r w:rsidR="00674854">
        <w:t xml:space="preserve"> and FG 45-4a</w:t>
      </w:r>
    </w:p>
    <w:p w14:paraId="601C8D44" w14:textId="274EFA21" w:rsidR="0004110B" w:rsidRDefault="007008D4" w:rsidP="0055642E">
      <w:r>
        <w:t xml:space="preserve">The relation between FG 45-3 and FG-45-3a implies that </w:t>
      </w:r>
      <w:r w:rsidR="00674854">
        <w:t xml:space="preserve">Component 1 of 45-3a </w:t>
      </w:r>
      <w:r w:rsidR="00EB3313">
        <w:t xml:space="preserve">is </w:t>
      </w:r>
      <w:r w:rsidR="00316DAB">
        <w:t>bound</w:t>
      </w:r>
      <w:r w:rsidR="00EB3313">
        <w:t xml:space="preserve"> by the configured value of </w:t>
      </w:r>
      <w:r w:rsidR="00674854">
        <w:t>Component 2 in FG-45-3.</w:t>
      </w:r>
      <w:r w:rsidR="00316DAB">
        <w:t xml:space="preserve"> Consequently, they should be aligned </w:t>
      </w:r>
      <w:bookmarkStart w:id="28" w:name="_Hlk146805497"/>
      <w:r w:rsidR="00316DAB">
        <w:t>regarding for which cells they are specified</w:t>
      </w:r>
      <w:bookmarkEnd w:id="28"/>
      <w:r w:rsidR="00316DAB">
        <w:t>.</w:t>
      </w:r>
      <w:r w:rsidR="00674854">
        <w:t xml:space="preserve"> </w:t>
      </w:r>
      <w:r>
        <w:t xml:space="preserve">Furthermore, </w:t>
      </w:r>
      <w:r w:rsidR="00630A59">
        <w:t xml:space="preserve">typing the FG as ‘per band’ implies that ‘in a band’ is unnecessary. </w:t>
      </w:r>
      <w:r w:rsidR="00674854">
        <w:t>Hence, Component 2 should read as follows:</w:t>
      </w:r>
    </w:p>
    <w:p w14:paraId="7436A88C" w14:textId="5D29C8FF" w:rsidR="00EF6938" w:rsidRDefault="007008D4" w:rsidP="00674854">
      <w:pPr>
        <w:pStyle w:val="Proposal"/>
      </w:pPr>
      <w:bookmarkStart w:id="29" w:name="_Toc146901871"/>
      <w:r>
        <w:t xml:space="preserve">Rename </w:t>
      </w:r>
      <w:r w:rsidR="0004110B">
        <w:t xml:space="preserve">FG 45-3a, </w:t>
      </w:r>
      <w:r w:rsidR="00646574">
        <w:t>Component 1</w:t>
      </w:r>
      <w:r w:rsidR="0004110B">
        <w:t xml:space="preserve">, </w:t>
      </w:r>
      <w:r>
        <w:t>as</w:t>
      </w:r>
      <w:r w:rsidR="0004110B">
        <w:t xml:space="preserve"> </w:t>
      </w:r>
      <w:r w:rsidR="00694334">
        <w:t>‘</w:t>
      </w:r>
      <w:r w:rsidR="0004110B">
        <w:t>Maximum number</w:t>
      </w:r>
      <w:r w:rsidR="00630A59">
        <w:t xml:space="preserve"> </w:t>
      </w:r>
      <w:r w:rsidR="0004110B">
        <w:t xml:space="preserve">of MAC CE activated joint LTM TCI state(s) </w:t>
      </w:r>
      <w:r w:rsidR="008C2B88">
        <w:t xml:space="preserve">across all candidate cells </w:t>
      </w:r>
      <w:r w:rsidR="00F658A6">
        <w:t xml:space="preserve">and joint TCI states </w:t>
      </w:r>
      <w:r w:rsidR="0004110B">
        <w:t>across</w:t>
      </w:r>
      <w:r w:rsidR="00EB3313">
        <w:t xml:space="preserve"> all</w:t>
      </w:r>
      <w:r w:rsidR="0004110B">
        <w:t xml:space="preserve"> </w:t>
      </w:r>
      <w:r w:rsidR="008C2B88">
        <w:t xml:space="preserve">serving </w:t>
      </w:r>
      <w:r w:rsidR="0004110B">
        <w:t>cells.</w:t>
      </w:r>
      <w:r w:rsidR="00694334">
        <w:t>’</w:t>
      </w:r>
      <w:bookmarkEnd w:id="29"/>
    </w:p>
    <w:p w14:paraId="6CEA83AD" w14:textId="28B40455" w:rsidR="00674854" w:rsidRDefault="00674854" w:rsidP="00674854">
      <w:r w:rsidRPr="00674854">
        <w:t xml:space="preserve">Correspondingly, </w:t>
      </w:r>
      <w:r>
        <w:t xml:space="preserve">Component 1 </w:t>
      </w:r>
      <w:r w:rsidR="007008D4">
        <w:t xml:space="preserve">and Component 2 of </w:t>
      </w:r>
      <w:r>
        <w:t xml:space="preserve">FG-45-4a, should </w:t>
      </w:r>
      <w:r w:rsidR="007008D4">
        <w:t xml:space="preserve">be aligned with </w:t>
      </w:r>
      <w:r>
        <w:t xml:space="preserve">Component 2 </w:t>
      </w:r>
      <w:r w:rsidR="007008D4">
        <w:t xml:space="preserve">and Component 3, respectively </w:t>
      </w:r>
      <w:r>
        <w:t>FG-45-4</w:t>
      </w:r>
      <w:r w:rsidR="00316DAB">
        <w:t xml:space="preserve"> regarding for which cells they are specified</w:t>
      </w:r>
      <w:r w:rsidR="00300CE3">
        <w:t>. Additionally, the FG should be aligned with FG 45-3a, i.e., ‘before cell-switch command’ is deleted for both Component 1 and Component 2</w:t>
      </w:r>
      <w:r w:rsidR="007008D4">
        <w:t>:</w:t>
      </w:r>
    </w:p>
    <w:p w14:paraId="1EBEF91A" w14:textId="10EF56C1" w:rsidR="00630A59" w:rsidRDefault="00630A59" w:rsidP="00630A59">
      <w:pPr>
        <w:pStyle w:val="Proposal"/>
      </w:pPr>
      <w:bookmarkStart w:id="30" w:name="_Toc146901872"/>
      <w:r>
        <w:t>Rename FG 45-</w:t>
      </w:r>
      <w:r w:rsidR="006A347D">
        <w:t>4</w:t>
      </w:r>
      <w:r>
        <w:t xml:space="preserve">a, </w:t>
      </w:r>
      <w:r w:rsidR="00646574">
        <w:t>Component 1</w:t>
      </w:r>
      <w:r>
        <w:t xml:space="preserve">, as </w:t>
      </w:r>
      <w:r w:rsidR="00694334">
        <w:t>‘</w:t>
      </w:r>
      <w:r>
        <w:t xml:space="preserve">Maximum number K1 of MAC-CE activated DL </w:t>
      </w:r>
      <w:r w:rsidR="007A761A">
        <w:t xml:space="preserve">LTM </w:t>
      </w:r>
      <w:r>
        <w:t xml:space="preserve">TCI states </w:t>
      </w:r>
      <w:r w:rsidR="00B804C3">
        <w:t xml:space="preserve">across all candidate cell </w:t>
      </w:r>
      <w:r w:rsidR="00F658A6">
        <w:t xml:space="preserve">and DL TCI states </w:t>
      </w:r>
      <w:r>
        <w:t xml:space="preserve">across all </w:t>
      </w:r>
      <w:r w:rsidR="00EA5F6F">
        <w:t xml:space="preserve">serving </w:t>
      </w:r>
      <w:r>
        <w:t>cells.</w:t>
      </w:r>
      <w:r w:rsidR="00694334">
        <w:t>’</w:t>
      </w:r>
      <w:bookmarkEnd w:id="30"/>
    </w:p>
    <w:p w14:paraId="578F08ED" w14:textId="3660A072" w:rsidR="00630A59" w:rsidRDefault="00630A59" w:rsidP="00630A59">
      <w:pPr>
        <w:pStyle w:val="Proposal"/>
      </w:pPr>
      <w:bookmarkStart w:id="31" w:name="_Toc146901873"/>
      <w:r>
        <w:t>Rename FG 45-</w:t>
      </w:r>
      <w:r w:rsidR="00426E94">
        <w:t>4</w:t>
      </w:r>
      <w:r>
        <w:t xml:space="preserve">a, </w:t>
      </w:r>
      <w:r w:rsidR="00646574">
        <w:t>Component 1</w:t>
      </w:r>
      <w:r>
        <w:t xml:space="preserve">, as </w:t>
      </w:r>
      <w:r w:rsidR="00694334">
        <w:t>‘</w:t>
      </w:r>
      <w:r>
        <w:t xml:space="preserve">Maximum number K2 of MAC-CE activated UL </w:t>
      </w:r>
      <w:r w:rsidR="007A761A">
        <w:t xml:space="preserve">LTM </w:t>
      </w:r>
      <w:r>
        <w:t xml:space="preserve">TCI states </w:t>
      </w:r>
      <w:r w:rsidR="005875BA">
        <w:t xml:space="preserve">across all candidate cells </w:t>
      </w:r>
      <w:r w:rsidR="00F658A6">
        <w:t xml:space="preserve">and UL TCI states </w:t>
      </w:r>
      <w:r>
        <w:t xml:space="preserve">across all </w:t>
      </w:r>
      <w:r w:rsidR="00064A5F">
        <w:t xml:space="preserve">serving </w:t>
      </w:r>
      <w:r>
        <w:t>cells</w:t>
      </w:r>
      <w:r w:rsidR="00A1093F">
        <w:t>.</w:t>
      </w:r>
      <w:r w:rsidR="00694334">
        <w:t>’</w:t>
      </w:r>
      <w:bookmarkEnd w:id="31"/>
    </w:p>
    <w:p w14:paraId="051509C3" w14:textId="0DB93933" w:rsidR="00630A59" w:rsidRDefault="00630A59" w:rsidP="00630A59">
      <w:r w:rsidRPr="00630A59">
        <w:t xml:space="preserve">Additionally, </w:t>
      </w:r>
      <w:r>
        <w:t xml:space="preserve">also </w:t>
      </w:r>
      <w:r w:rsidRPr="00630A59">
        <w:t>FG</w:t>
      </w:r>
      <w:r>
        <w:t xml:space="preserve"> 45-4a should reflect the </w:t>
      </w:r>
      <w:r w:rsidR="00694334">
        <w:t xml:space="preserve">unique </w:t>
      </w:r>
      <w:r w:rsidR="00694334" w:rsidRPr="00694334">
        <w:rPr>
          <w:i/>
          <w:iCs/>
        </w:rPr>
        <w:t>LTM</w:t>
      </w:r>
      <w:r w:rsidR="00694334">
        <w:t xml:space="preserve"> TCI states in its name, </w:t>
      </w:r>
      <w:proofErr w:type="gramStart"/>
      <w:r w:rsidR="00694334">
        <w:t>in order to</w:t>
      </w:r>
      <w:proofErr w:type="gramEnd"/>
      <w:r w:rsidR="00694334">
        <w:t xml:space="preserve"> differentiate it from legacy TCI states. It should also more clearly be differentiated from FG 45-3a in that it concerns </w:t>
      </w:r>
      <w:r w:rsidR="00694334" w:rsidRPr="00694334">
        <w:rPr>
          <w:i/>
          <w:iCs/>
        </w:rPr>
        <w:t>separate</w:t>
      </w:r>
      <w:r w:rsidR="00694334">
        <w:t xml:space="preserve"> DL/UL TCI states:</w:t>
      </w:r>
    </w:p>
    <w:p w14:paraId="0E239F9A" w14:textId="61A56ED2" w:rsidR="00694334" w:rsidRPr="00630A59" w:rsidRDefault="00694334" w:rsidP="00694334">
      <w:pPr>
        <w:pStyle w:val="Proposal"/>
      </w:pPr>
      <w:bookmarkStart w:id="32" w:name="_Toc146901874"/>
      <w:r>
        <w:t>Rename FG 45-4a as ‘</w:t>
      </w:r>
      <w:r w:rsidRPr="006662B7">
        <w:rPr>
          <w:lang w:val="en-US"/>
        </w:rPr>
        <w:t>MAC-CE activated</w:t>
      </w:r>
      <w:r>
        <w:rPr>
          <w:lang w:val="en-US"/>
        </w:rPr>
        <w:t xml:space="preserve"> separate</w:t>
      </w:r>
      <w:r w:rsidRPr="006662B7">
        <w:rPr>
          <w:lang w:val="en-US"/>
        </w:rPr>
        <w:t xml:space="preserve"> DL/UL </w:t>
      </w:r>
      <w:r>
        <w:rPr>
          <w:lang w:val="en-US"/>
        </w:rPr>
        <w:t xml:space="preserve">LTM </w:t>
      </w:r>
      <w:r w:rsidRPr="006662B7">
        <w:rPr>
          <w:lang w:val="en-US"/>
        </w:rPr>
        <w:t>TCI states</w:t>
      </w:r>
      <w:r>
        <w:rPr>
          <w:lang w:val="en-US"/>
        </w:rPr>
        <w:t>.</w:t>
      </w:r>
      <w:r>
        <w:t>’</w:t>
      </w:r>
      <w:bookmarkEnd w:id="32"/>
    </w:p>
    <w:p w14:paraId="7BAE7CA0" w14:textId="7D4F5DD9" w:rsidR="000E22D7" w:rsidRDefault="000E22D7" w:rsidP="00F63950">
      <w:pPr>
        <w:pStyle w:val="Heading2"/>
      </w:pPr>
      <w:r>
        <w:t>FG 45-5</w:t>
      </w:r>
    </w:p>
    <w:p w14:paraId="3D9A8EAF" w14:textId="3BC1CC91" w:rsidR="008F2E25" w:rsidRDefault="00CE4866" w:rsidP="005C5EE1">
      <w:r>
        <w:t xml:space="preserve">TA acquisition </w:t>
      </w:r>
      <w:r w:rsidR="005C5EE1">
        <w:t xml:space="preserve">as well as RA </w:t>
      </w:r>
      <w:r>
        <w:t xml:space="preserve">is only relevant for </w:t>
      </w:r>
      <w:r w:rsidR="005C5EE1">
        <w:t>candidate cells that are not the UE’s present serving cell</w:t>
      </w:r>
      <w:r>
        <w:t xml:space="preserve">. Hence, </w:t>
      </w:r>
      <w:r w:rsidR="005C5EE1">
        <w:t xml:space="preserve">including the </w:t>
      </w:r>
      <w:r>
        <w:t xml:space="preserve">serving cell </w:t>
      </w:r>
      <w:r w:rsidR="005C5EE1">
        <w:t>in CFRA or cell switch commands i</w:t>
      </w:r>
      <w:r>
        <w:t xml:space="preserve">s </w:t>
      </w:r>
      <w:r w:rsidR="005C5EE1">
        <w:t>erroneous</w:t>
      </w:r>
      <w:r>
        <w:t>.</w:t>
      </w:r>
    </w:p>
    <w:p w14:paraId="284CD9AE" w14:textId="1EEEF3D5" w:rsidR="008F2E25" w:rsidRDefault="008F2E25" w:rsidP="0055642E">
      <w:pPr>
        <w:pStyle w:val="Proposal"/>
      </w:pPr>
      <w:bookmarkStart w:id="33" w:name="_Toc146901875"/>
      <w:r>
        <w:t xml:space="preserve">For FG 45-5, </w:t>
      </w:r>
      <w:r w:rsidR="00646574">
        <w:t>Component 1</w:t>
      </w:r>
      <w:r>
        <w:t>, re</w:t>
      </w:r>
      <w:r w:rsidR="005C5EE1">
        <w:t>move the text within brackets.</w:t>
      </w:r>
      <w:bookmarkEnd w:id="33"/>
    </w:p>
    <w:p w14:paraId="0A7EEFB3" w14:textId="7EF4B580" w:rsidR="005C5EE1" w:rsidRPr="005C5EE1" w:rsidRDefault="005C5EE1" w:rsidP="005C5EE1">
      <w:r>
        <w:t xml:space="preserve">Regarding </w:t>
      </w:r>
      <w:r w:rsidR="00A55576">
        <w:t xml:space="preserve">the UE’s </w:t>
      </w:r>
      <w:r>
        <w:t xml:space="preserve">overlap handling between serving cell </w:t>
      </w:r>
      <w:r w:rsidR="00A55576">
        <w:t xml:space="preserve">UL transmissions </w:t>
      </w:r>
      <w:r>
        <w:t>and candidate cell PRACH</w:t>
      </w:r>
      <w:r w:rsidR="00A55576">
        <w:t xml:space="preserve"> as described</w:t>
      </w:r>
      <w:r>
        <w:t xml:space="preserve"> in Component 3, </w:t>
      </w:r>
      <w:r w:rsidR="00300CE3">
        <w:t xml:space="preserve">this component should be included in FG 45-1 since the </w:t>
      </w:r>
      <w:proofErr w:type="spellStart"/>
      <w:r w:rsidR="00300CE3">
        <w:t>behavior</w:t>
      </w:r>
      <w:proofErr w:type="spellEnd"/>
      <w:r w:rsidR="00300CE3">
        <w:t xml:space="preserve"> should be mandatory for mobility enhancements.</w:t>
      </w:r>
    </w:p>
    <w:p w14:paraId="72E9ACF6" w14:textId="62781910" w:rsidR="000E22D7" w:rsidRDefault="00300CE3" w:rsidP="0055642E">
      <w:pPr>
        <w:pStyle w:val="Proposal"/>
      </w:pPr>
      <w:bookmarkStart w:id="34" w:name="_Toc146901876"/>
      <w:r>
        <w:t>Include</w:t>
      </w:r>
      <w:r w:rsidR="00F53D6B">
        <w:t xml:space="preserve"> </w:t>
      </w:r>
      <w:r w:rsidR="000041E3">
        <w:t xml:space="preserve">FG 45-5, </w:t>
      </w:r>
      <w:r w:rsidR="00646574">
        <w:t>Component 3</w:t>
      </w:r>
      <w:r>
        <w:t xml:space="preserve"> in FG 45-1</w:t>
      </w:r>
      <w:r w:rsidR="000041E3">
        <w:t>.</w:t>
      </w:r>
      <w:bookmarkEnd w:id="34"/>
    </w:p>
    <w:p w14:paraId="42241C46" w14:textId="55D56C15" w:rsidR="00C27D04" w:rsidRDefault="00C27D04" w:rsidP="00C27D04">
      <w:pPr>
        <w:pStyle w:val="Heading2"/>
      </w:pPr>
      <w:r>
        <w:t>FG 45-7</w:t>
      </w:r>
    </w:p>
    <w:p w14:paraId="57DE3B39" w14:textId="1A1902E0" w:rsidR="00E454DB" w:rsidRDefault="00A55576" w:rsidP="00A55576">
      <w:r>
        <w:t>FG 45-7, TA indication with cell switch command wit</w:t>
      </w:r>
      <w:r w:rsidR="006059F2">
        <w:t>h</w:t>
      </w:r>
      <w:r>
        <w:t xml:space="preserve"> and without RACH, is presently an FG of its own. </w:t>
      </w:r>
      <w:r w:rsidR="00E454DB">
        <w:t xml:space="preserve">It is not clear to us what the current formulation means. </w:t>
      </w:r>
    </w:p>
    <w:p w14:paraId="0192DC64" w14:textId="30521436" w:rsidR="008E1685" w:rsidRDefault="008E1685" w:rsidP="00A55576">
      <w:r>
        <w:t>On high level, after the cell-switch command, the UE may acquire the TA in five (!) ways:</w:t>
      </w:r>
    </w:p>
    <w:p w14:paraId="253D53E2" w14:textId="3ED88FD6" w:rsidR="008E1685" w:rsidRDefault="00615CE8" w:rsidP="00DD587D">
      <w:pPr>
        <w:pStyle w:val="ListNumber"/>
      </w:pPr>
      <w:r>
        <w:t xml:space="preserve">An arbitrary </w:t>
      </w:r>
      <w:r w:rsidR="00687D4A">
        <w:t>TA</w:t>
      </w:r>
      <w:r w:rsidR="008E1685">
        <w:t xml:space="preserve"> </w:t>
      </w:r>
      <w:r>
        <w:t xml:space="preserve">command </w:t>
      </w:r>
      <w:r w:rsidR="008E1685">
        <w:t>can be provided in the cell-switch command</w:t>
      </w:r>
      <w:r w:rsidR="00DF4CB5">
        <w:t>,</w:t>
      </w:r>
    </w:p>
    <w:p w14:paraId="6D795A59" w14:textId="4A3A19B9" w:rsidR="00687D4A" w:rsidRDefault="00687D4A" w:rsidP="00DD587D">
      <w:pPr>
        <w:pStyle w:val="ListNumber"/>
      </w:pPr>
      <w:r>
        <w:lastRenderedPageBreak/>
        <w:t xml:space="preserve">The UE may apply TA=0, </w:t>
      </w:r>
      <w:proofErr w:type="gramStart"/>
      <w:r>
        <w:t>similar to</w:t>
      </w:r>
      <w:proofErr w:type="gramEnd"/>
      <w:r>
        <w:t xml:space="preserve"> LTE RACH-less</w:t>
      </w:r>
      <w:r w:rsidR="00DF4CB5">
        <w:t>,</w:t>
      </w:r>
    </w:p>
    <w:p w14:paraId="4B7262F6" w14:textId="000998D1" w:rsidR="00687D4A" w:rsidRDefault="00687D4A" w:rsidP="00DD587D">
      <w:pPr>
        <w:pStyle w:val="ListNumber"/>
      </w:pPr>
      <w:r>
        <w:t>The UE may apply the same TA as in the source,</w:t>
      </w:r>
      <w:r w:rsidRPr="00687D4A">
        <w:t xml:space="preserve"> </w:t>
      </w:r>
      <w:proofErr w:type="gramStart"/>
      <w:r>
        <w:t>similar to</w:t>
      </w:r>
      <w:proofErr w:type="gramEnd"/>
      <w:r>
        <w:t xml:space="preserve"> LTE RACH-less</w:t>
      </w:r>
      <w:r w:rsidR="00DF4CB5">
        <w:t>,</w:t>
      </w:r>
    </w:p>
    <w:p w14:paraId="1FEFA892" w14:textId="05C44F2C" w:rsidR="00687D4A" w:rsidRDefault="00687D4A" w:rsidP="00DD587D">
      <w:pPr>
        <w:pStyle w:val="ListNumber"/>
      </w:pPr>
      <w:r>
        <w:t xml:space="preserve">The UE may perform random access after receiving the cell-switch </w:t>
      </w:r>
      <w:r w:rsidR="00DF4CB5">
        <w:t>command and</w:t>
      </w:r>
      <w:r>
        <w:t xml:space="preserve"> receive it in RAR</w:t>
      </w:r>
      <w:r w:rsidR="00E5476E">
        <w:t>. According to the RAN2 agreements from RAN2#123, it would be possible to provide an indication which PRACH preamble to use as part of this functionality</w:t>
      </w:r>
      <w:r w:rsidR="00DF4CB5">
        <w:t>, and</w:t>
      </w:r>
    </w:p>
    <w:p w14:paraId="67BB2D50" w14:textId="622BB22E" w:rsidR="00687D4A" w:rsidRDefault="00687D4A" w:rsidP="00DD587D">
      <w:pPr>
        <w:pStyle w:val="ListNumber"/>
      </w:pPr>
      <w:r>
        <w:t>The UE may perform UE-based TA estimation.</w:t>
      </w:r>
    </w:p>
    <w:p w14:paraId="3F5FE4CF" w14:textId="4BCFA012" w:rsidR="00687D4A" w:rsidRDefault="00687D4A" w:rsidP="00A55576">
      <w:r>
        <w:t xml:space="preserve">The situation now is that 5 is reported in FG 45-6. All the other ways </w:t>
      </w:r>
      <w:r w:rsidR="00E5476E">
        <w:t>should be part of some FG, and it should be discussed which methods should be reported separately.</w:t>
      </w:r>
    </w:p>
    <w:p w14:paraId="6BD7567E" w14:textId="5D3A5CF7" w:rsidR="00E454DB" w:rsidRDefault="00E454DB" w:rsidP="00A55576">
      <w:r>
        <w:t>In one interpretation, “TA indication with cell switch command with RACH” means solution 4, and “TA indication with cell switch command without RACH”</w:t>
      </w:r>
      <w:r w:rsidR="00615CE8">
        <w:t xml:space="preserve"> means solutions 1, 2, 3, 5</w:t>
      </w:r>
      <w:r>
        <w:t>. In another interpretation, “TA indication with cell switch command with and without RACH” means solutions 1-3.</w:t>
      </w:r>
    </w:p>
    <w:p w14:paraId="13370456" w14:textId="1CE1B143" w:rsidR="008E1685" w:rsidRDefault="00E5476E" w:rsidP="00A55576">
      <w:r>
        <w:t>In our understanding, it would be reasonable that the UE reports support for solution 4 in a separate FG. Support for solutions 1-3 should be part of the basic cell-switch command, i.e., part of FG 45-3</w:t>
      </w:r>
      <w:r w:rsidR="00BD733E">
        <w:t xml:space="preserve"> or FG 45-4</w:t>
      </w:r>
      <w:r>
        <w:t>:</w:t>
      </w:r>
    </w:p>
    <w:p w14:paraId="6D314787" w14:textId="37612622" w:rsidR="00C27D04" w:rsidRDefault="00FB67CC" w:rsidP="00DD587D">
      <w:pPr>
        <w:pStyle w:val="Proposal"/>
      </w:pPr>
      <w:bookmarkStart w:id="35" w:name="_Toc146901877"/>
      <w:r>
        <w:t xml:space="preserve">Merge FG 45-7 </w:t>
      </w:r>
      <w:r w:rsidR="00A55576">
        <w:t>as a separate component into</w:t>
      </w:r>
      <w:r w:rsidR="00745280">
        <w:t xml:space="preserve"> FG</w:t>
      </w:r>
      <w:r>
        <w:t xml:space="preserve"> 45-</w:t>
      </w:r>
      <w:r w:rsidR="006059F2">
        <w:t>3</w:t>
      </w:r>
      <w:r w:rsidR="00DD587D">
        <w:t xml:space="preserve"> and FG 45-4</w:t>
      </w:r>
      <w:r w:rsidR="004F2C51">
        <w:t xml:space="preserve"> and </w:t>
      </w:r>
      <w:r w:rsidR="00E41E35">
        <w:t xml:space="preserve">remove the statement </w:t>
      </w:r>
      <w:r w:rsidR="00546BF4">
        <w:t>“with and without RACH</w:t>
      </w:r>
      <w:r w:rsidR="00DD587D">
        <w:t>.</w:t>
      </w:r>
      <w:r w:rsidR="00546BF4">
        <w:t>”</w:t>
      </w:r>
      <w:bookmarkEnd w:id="35"/>
    </w:p>
    <w:p w14:paraId="3879E8F8" w14:textId="348885A5" w:rsidR="00C27D04" w:rsidRPr="00EF6938" w:rsidRDefault="003612C4" w:rsidP="00DD587D">
      <w:pPr>
        <w:pStyle w:val="Proposal"/>
        <w:sectPr w:rsidR="00C27D04" w:rsidRPr="00EF6938" w:rsidSect="00AC22FB">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bookmarkStart w:id="36" w:name="_Toc146901878"/>
      <w:r>
        <w:t xml:space="preserve">Introduce a new FG for solution 4: </w:t>
      </w:r>
      <w:r w:rsidR="007A3398" w:rsidRPr="007A3398">
        <w:t xml:space="preserve"> RACH after receiving cell-switch command</w:t>
      </w:r>
      <w:r w:rsidR="007A3398">
        <w:t>.</w:t>
      </w:r>
      <w:bookmarkEnd w:id="36"/>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0F4874">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7D41484" w14:textId="1E54D9D2" w:rsidR="007B07D5" w:rsidRDefault="006F6582" w:rsidP="007B07D5">
      <w:pPr>
        <w:pStyle w:val="TableofFigures"/>
        <w:tabs>
          <w:tab w:val="right" w:leader="dot" w:pos="9629"/>
        </w:tabs>
        <w:jc w:val="both"/>
        <w:rPr>
          <w:rFonts w:asciiTheme="minorHAnsi" w:eastAsiaTheme="minorEastAsia" w:hAnsiTheme="minorHAnsi"/>
          <w:b w:val="0"/>
          <w:noProof/>
          <w:sz w:val="22"/>
        </w:rPr>
      </w:pPr>
      <w:r>
        <w:rPr>
          <w:bCs/>
        </w:rPr>
        <w:fldChar w:fldCharType="begin"/>
      </w:r>
      <w:r>
        <w:rPr>
          <w:bCs/>
        </w:rPr>
        <w:instrText xml:space="preserve"> TOC \f O \n \h \z \t "Observation" \c </w:instrText>
      </w:r>
      <w:r>
        <w:rPr>
          <w:bCs/>
        </w:rPr>
        <w:fldChar w:fldCharType="separate"/>
      </w:r>
      <w:hyperlink w:anchor="_Toc146901846" w:history="1">
        <w:r w:rsidR="007B07D5" w:rsidRPr="00E00BCD">
          <w:rPr>
            <w:rStyle w:val="Hyperlink"/>
            <w:noProof/>
          </w:rPr>
          <w:t>Observation 1</w:t>
        </w:r>
        <w:r w:rsidR="007B07D5">
          <w:rPr>
            <w:rFonts w:asciiTheme="minorHAnsi" w:eastAsiaTheme="minorEastAsia" w:hAnsiTheme="minorHAnsi"/>
            <w:b w:val="0"/>
            <w:noProof/>
            <w:sz w:val="22"/>
          </w:rPr>
          <w:tab/>
        </w:r>
        <w:r w:rsidR="007B07D5" w:rsidRPr="00E00BCD">
          <w:rPr>
            <w:rStyle w:val="Hyperlink"/>
            <w:noProof/>
          </w:rPr>
          <w:t>Specifying UE-features per band combination exponentially increase complexity.</w:t>
        </w:r>
      </w:hyperlink>
    </w:p>
    <w:p w14:paraId="5E23E724" w14:textId="64BBAD40"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47" w:history="1">
        <w:r w:rsidR="007B07D5" w:rsidRPr="00E00BCD">
          <w:rPr>
            <w:rStyle w:val="Hyperlink"/>
            <w:noProof/>
          </w:rPr>
          <w:t>Observation 2</w:t>
        </w:r>
        <w:r w:rsidR="007B07D5">
          <w:rPr>
            <w:rFonts w:asciiTheme="minorHAnsi" w:eastAsiaTheme="minorEastAsia" w:hAnsiTheme="minorHAnsi"/>
            <w:b w:val="0"/>
            <w:noProof/>
            <w:sz w:val="22"/>
          </w:rPr>
          <w:tab/>
        </w:r>
        <w:r w:rsidR="007B07D5" w:rsidRPr="00E00BCD">
          <w:rPr>
            <w:rStyle w:val="Hyperlink"/>
            <w:noProof/>
          </w:rPr>
          <w:t>A low complex implementation of mobility enhancements would allow for a wider spread of the feature.</w:t>
        </w:r>
      </w:hyperlink>
    </w:p>
    <w:p w14:paraId="22672C18" w14:textId="05B4251C"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48" w:history="1">
        <w:r w:rsidR="007B07D5" w:rsidRPr="00E00BCD">
          <w:rPr>
            <w:rStyle w:val="Hyperlink"/>
            <w:noProof/>
          </w:rPr>
          <w:t>Observation 3</w:t>
        </w:r>
        <w:r w:rsidR="007B07D5">
          <w:rPr>
            <w:rFonts w:asciiTheme="minorHAnsi" w:eastAsiaTheme="minorEastAsia" w:hAnsiTheme="minorHAnsi"/>
            <w:b w:val="0"/>
            <w:noProof/>
            <w:sz w:val="22"/>
          </w:rPr>
          <w:tab/>
        </w:r>
        <w:r w:rsidR="007B07D5" w:rsidRPr="00E00BCD">
          <w:rPr>
            <w:rStyle w:val="Hyperlink"/>
            <w:noProof/>
          </w:rPr>
          <w:t>The present version of FG 45-1, Component 7 differs significantly from Rel-15 reporting in including all reporting capabilities in one component of one FG.</w:t>
        </w:r>
      </w:hyperlink>
    </w:p>
    <w:p w14:paraId="6B134A4A" w14:textId="0764EBD8"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49" w:history="1">
        <w:r w:rsidR="007B07D5" w:rsidRPr="00E00BCD">
          <w:rPr>
            <w:rStyle w:val="Hyperlink"/>
            <w:noProof/>
          </w:rPr>
          <w:t>Observation 4</w:t>
        </w:r>
        <w:r w:rsidR="007B07D5">
          <w:rPr>
            <w:rFonts w:asciiTheme="minorHAnsi" w:eastAsiaTheme="minorEastAsia" w:hAnsiTheme="minorHAnsi"/>
            <w:b w:val="0"/>
            <w:noProof/>
            <w:sz w:val="22"/>
          </w:rPr>
          <w:tab/>
        </w:r>
        <w:r w:rsidR="007B07D5" w:rsidRPr="00E00BCD">
          <w:rPr>
            <w:rStyle w:val="Hyperlink"/>
            <w:noProof/>
          </w:rPr>
          <w:t>When the UE is ready to receive PDCCH and PDSCH from a new cell, it has already been configured with new TCI states by the new cell.</w:t>
        </w:r>
      </w:hyperlink>
    </w:p>
    <w:p w14:paraId="7D91EC5D" w14:textId="606A3262" w:rsidR="006E1C82" w:rsidRDefault="006F6582" w:rsidP="007B07D5">
      <w:pPr>
        <w:pStyle w:val="BodyText"/>
      </w:pPr>
      <w:r>
        <w:fldChar w:fldCharType="end"/>
      </w:r>
    </w:p>
    <w:p w14:paraId="6225A1B8" w14:textId="77777777" w:rsidR="006E1C82" w:rsidRDefault="008E065E" w:rsidP="007B07D5">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F043CE4" w14:textId="239092BB" w:rsidR="007B07D5" w:rsidRDefault="006E1C82" w:rsidP="007B07D5">
      <w:pPr>
        <w:pStyle w:val="TableofFigures"/>
        <w:tabs>
          <w:tab w:val="right" w:leader="dot" w:pos="9629"/>
        </w:tabs>
        <w:jc w:val="both"/>
        <w:rPr>
          <w:rFonts w:asciiTheme="minorHAnsi" w:eastAsiaTheme="minorEastAsia" w:hAnsiTheme="minorHAnsi"/>
          <w:b w:val="0"/>
          <w:noProof/>
          <w:sz w:val="22"/>
        </w:rPr>
      </w:pPr>
      <w:r>
        <w:rPr>
          <w:bCs/>
        </w:rPr>
        <w:fldChar w:fldCharType="begin"/>
      </w:r>
      <w:r>
        <w:rPr>
          <w:bCs/>
        </w:rPr>
        <w:instrText xml:space="preserve"> TOC \n \h \z \t "Proposal" \c </w:instrText>
      </w:r>
      <w:r>
        <w:rPr>
          <w:bCs/>
        </w:rPr>
        <w:fldChar w:fldCharType="separate"/>
      </w:r>
      <w:hyperlink w:anchor="_Toc146901850" w:history="1">
        <w:r w:rsidR="007B07D5" w:rsidRPr="00DF4A82">
          <w:rPr>
            <w:rStyle w:val="Hyperlink"/>
            <w:noProof/>
          </w:rPr>
          <w:t>Proposal 1</w:t>
        </w:r>
        <w:r w:rsidR="007B07D5">
          <w:rPr>
            <w:rFonts w:asciiTheme="minorHAnsi" w:eastAsiaTheme="minorEastAsia" w:hAnsiTheme="minorHAnsi"/>
            <w:b w:val="0"/>
            <w:noProof/>
            <w:sz w:val="22"/>
          </w:rPr>
          <w:tab/>
        </w:r>
        <w:r w:rsidR="007B07D5" w:rsidRPr="00DF4A82">
          <w:rPr>
            <w:rStyle w:val="Hyperlink"/>
            <w:noProof/>
          </w:rPr>
          <w:t>UE-features for mobility enhancements are specified per band.</w:t>
        </w:r>
      </w:hyperlink>
    </w:p>
    <w:p w14:paraId="60A0F8D4" w14:textId="1E30FC36"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51" w:history="1">
        <w:r w:rsidR="007B07D5" w:rsidRPr="00DF4A82">
          <w:rPr>
            <w:rStyle w:val="Hyperlink"/>
            <w:noProof/>
          </w:rPr>
          <w:t>Proposal 2</w:t>
        </w:r>
        <w:r w:rsidR="007B07D5">
          <w:rPr>
            <w:rFonts w:asciiTheme="minorHAnsi" w:eastAsiaTheme="minorEastAsia" w:hAnsiTheme="minorHAnsi"/>
            <w:b w:val="0"/>
            <w:noProof/>
            <w:sz w:val="22"/>
          </w:rPr>
          <w:tab/>
        </w:r>
        <w:r w:rsidR="007B07D5" w:rsidRPr="00DF4A82">
          <w:rPr>
            <w:rStyle w:val="Hyperlink"/>
            <w:noProof/>
          </w:rPr>
          <w:t>Split FG 45-1 to allow a minimalistic mobility enhancements implementation including,</w:t>
        </w:r>
      </w:hyperlink>
    </w:p>
    <w:p w14:paraId="1A76BC8D" w14:textId="6BBD7451"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52" w:history="1">
        <w:r w:rsidR="007B07D5" w:rsidRPr="00DF4A82">
          <w:rPr>
            <w:rStyle w:val="Hyperlink"/>
            <w:noProof/>
          </w:rPr>
          <w:t>a.</w:t>
        </w:r>
        <w:r w:rsidR="007B07D5">
          <w:rPr>
            <w:rFonts w:asciiTheme="minorHAnsi" w:eastAsiaTheme="minorEastAsia" w:hAnsiTheme="minorHAnsi"/>
            <w:b w:val="0"/>
            <w:noProof/>
            <w:sz w:val="22"/>
          </w:rPr>
          <w:tab/>
        </w:r>
        <w:r w:rsidR="007B07D5" w:rsidRPr="00DF4A82">
          <w:rPr>
            <w:rStyle w:val="Hyperlink"/>
            <w:noProof/>
          </w:rPr>
          <w:t>Intra-frequency measurements, and</w:t>
        </w:r>
      </w:hyperlink>
    </w:p>
    <w:p w14:paraId="582C3767" w14:textId="2FC309E9"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53" w:history="1">
        <w:r w:rsidR="007B07D5" w:rsidRPr="00DF4A82">
          <w:rPr>
            <w:rStyle w:val="Hyperlink"/>
            <w:noProof/>
          </w:rPr>
          <w:t>b.</w:t>
        </w:r>
        <w:r w:rsidR="007B07D5">
          <w:rPr>
            <w:rFonts w:asciiTheme="minorHAnsi" w:eastAsiaTheme="minorEastAsia" w:hAnsiTheme="minorHAnsi"/>
            <w:b w:val="0"/>
            <w:noProof/>
            <w:sz w:val="22"/>
          </w:rPr>
          <w:tab/>
        </w:r>
        <w:r w:rsidR="007B07D5" w:rsidRPr="00DF4A82">
          <w:rPr>
            <w:rStyle w:val="Hyperlink"/>
            <w:noProof/>
          </w:rPr>
          <w:t>Aperiodic reporting on PUSCH.</w:t>
        </w:r>
      </w:hyperlink>
    </w:p>
    <w:p w14:paraId="33563D84" w14:textId="459B1FC4"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54" w:history="1">
        <w:r w:rsidR="007B07D5" w:rsidRPr="00DF4A82">
          <w:rPr>
            <w:rStyle w:val="Hyperlink"/>
            <w:noProof/>
          </w:rPr>
          <w:t>Proposal 3</w:t>
        </w:r>
        <w:r w:rsidR="007B07D5">
          <w:rPr>
            <w:rFonts w:asciiTheme="minorHAnsi" w:eastAsiaTheme="minorEastAsia" w:hAnsiTheme="minorHAnsi"/>
            <w:b w:val="0"/>
            <w:noProof/>
            <w:sz w:val="22"/>
          </w:rPr>
          <w:tab/>
        </w:r>
        <w:r w:rsidR="007B07D5" w:rsidRPr="00DF4A82">
          <w:rPr>
            <w:rStyle w:val="Hyperlink"/>
            <w:noProof/>
          </w:rPr>
          <w:t>Introduce new FGs for</w:t>
        </w:r>
      </w:hyperlink>
    </w:p>
    <w:p w14:paraId="0E82B54B" w14:textId="0975BB99"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55" w:history="1">
        <w:r w:rsidR="007B07D5" w:rsidRPr="00DF4A82">
          <w:rPr>
            <w:rStyle w:val="Hyperlink"/>
            <w:noProof/>
          </w:rPr>
          <w:t>a.</w:t>
        </w:r>
        <w:r w:rsidR="007B07D5">
          <w:rPr>
            <w:rFonts w:asciiTheme="minorHAnsi" w:eastAsiaTheme="minorEastAsia" w:hAnsiTheme="minorHAnsi"/>
            <w:b w:val="0"/>
            <w:noProof/>
            <w:sz w:val="22"/>
          </w:rPr>
          <w:tab/>
        </w:r>
        <w:r w:rsidR="007B07D5" w:rsidRPr="00DF4A82">
          <w:rPr>
            <w:rStyle w:val="Hyperlink"/>
            <w:noProof/>
          </w:rPr>
          <w:t>Inter-frequency measurements, and</w:t>
        </w:r>
      </w:hyperlink>
    </w:p>
    <w:p w14:paraId="4771A489" w14:textId="1D9C2A2D"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56" w:history="1">
        <w:r w:rsidR="007B07D5" w:rsidRPr="00DF4A82">
          <w:rPr>
            <w:rStyle w:val="Hyperlink"/>
            <w:noProof/>
          </w:rPr>
          <w:t>b.</w:t>
        </w:r>
        <w:r w:rsidR="007B07D5">
          <w:rPr>
            <w:rFonts w:asciiTheme="minorHAnsi" w:eastAsiaTheme="minorEastAsia" w:hAnsiTheme="minorHAnsi"/>
            <w:b w:val="0"/>
            <w:noProof/>
            <w:sz w:val="22"/>
          </w:rPr>
          <w:tab/>
        </w:r>
        <w:r w:rsidR="007B07D5" w:rsidRPr="00DF4A82">
          <w:rPr>
            <w:rStyle w:val="Hyperlink"/>
            <w:noProof/>
          </w:rPr>
          <w:t>Periodic reporting on PUCCH and semi-persistent reporting on PUCCH/PUSCH.</w:t>
        </w:r>
      </w:hyperlink>
    </w:p>
    <w:p w14:paraId="6DC1EEA3" w14:textId="378CD5B3"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57" w:history="1">
        <w:r w:rsidR="007B07D5" w:rsidRPr="00DF4A82">
          <w:rPr>
            <w:rStyle w:val="Hyperlink"/>
            <w:noProof/>
            <w:lang w:eastAsia="ja-JP"/>
          </w:rPr>
          <w:t>Proposal 4</w:t>
        </w:r>
        <w:r w:rsidR="007B07D5">
          <w:rPr>
            <w:rFonts w:asciiTheme="minorHAnsi" w:eastAsiaTheme="minorEastAsia" w:hAnsiTheme="minorHAnsi"/>
            <w:b w:val="0"/>
            <w:noProof/>
            <w:sz w:val="22"/>
          </w:rPr>
          <w:tab/>
        </w:r>
        <w:r w:rsidR="007B07D5" w:rsidRPr="00DF4A82">
          <w:rPr>
            <w:rStyle w:val="Hyperlink"/>
            <w:noProof/>
          </w:rPr>
          <w:t>For FG 45-1, focus components on #SSB resources (cells, beams) and reporting capabilities.</w:t>
        </w:r>
      </w:hyperlink>
    </w:p>
    <w:p w14:paraId="43ECDF5F" w14:textId="5E4A0B70"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58" w:history="1">
        <w:r w:rsidR="007B07D5" w:rsidRPr="00DF4A82">
          <w:rPr>
            <w:rStyle w:val="Hyperlink"/>
            <w:noProof/>
          </w:rPr>
          <w:t>Proposal 5</w:t>
        </w:r>
        <w:r w:rsidR="007B07D5">
          <w:rPr>
            <w:rFonts w:asciiTheme="minorHAnsi" w:eastAsiaTheme="minorEastAsia" w:hAnsiTheme="minorHAnsi"/>
            <w:b w:val="0"/>
            <w:noProof/>
            <w:sz w:val="22"/>
          </w:rPr>
          <w:tab/>
        </w:r>
        <w:r w:rsidR="007B07D5" w:rsidRPr="00DF4A82">
          <w:rPr>
            <w:rStyle w:val="Hyperlink"/>
            <w:noProof/>
          </w:rPr>
          <w:t>For FG 45-1, Component 1, keep ‘intra-frequency’, remove ‘synchronous and asynchronous’ and ‘inter-frequency’.</w:t>
        </w:r>
      </w:hyperlink>
    </w:p>
    <w:p w14:paraId="71421899" w14:textId="46995705"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59" w:history="1">
        <w:r w:rsidR="007B07D5" w:rsidRPr="00DF4A82">
          <w:rPr>
            <w:rStyle w:val="Hyperlink"/>
            <w:noProof/>
          </w:rPr>
          <w:t>Proposal 6</w:t>
        </w:r>
        <w:r w:rsidR="007B07D5">
          <w:rPr>
            <w:rFonts w:asciiTheme="minorHAnsi" w:eastAsiaTheme="minorEastAsia" w:hAnsiTheme="minorHAnsi"/>
            <w:b w:val="0"/>
            <w:noProof/>
            <w:sz w:val="22"/>
          </w:rPr>
          <w:tab/>
        </w:r>
        <w:r w:rsidR="007B07D5" w:rsidRPr="00DF4A82">
          <w:rPr>
            <w:rStyle w:val="Hyperlink"/>
            <w:noProof/>
          </w:rPr>
          <w:t>For FG 45-1, Component 2, support component values {1, 2, 3, 4, 5, 6, 7, 8}.</w:t>
        </w:r>
      </w:hyperlink>
    </w:p>
    <w:p w14:paraId="0FB6A4AA" w14:textId="7FBAAAB8"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60" w:history="1">
        <w:r w:rsidR="007B07D5" w:rsidRPr="00DF4A82">
          <w:rPr>
            <w:rStyle w:val="Hyperlink"/>
            <w:noProof/>
          </w:rPr>
          <w:t>Proposal 7</w:t>
        </w:r>
        <w:r w:rsidR="007B07D5">
          <w:rPr>
            <w:rFonts w:asciiTheme="minorHAnsi" w:eastAsiaTheme="minorEastAsia" w:hAnsiTheme="minorHAnsi"/>
            <w:b w:val="0"/>
            <w:noProof/>
            <w:sz w:val="22"/>
          </w:rPr>
          <w:tab/>
        </w:r>
        <w:r w:rsidR="007B07D5" w:rsidRPr="00DF4A82">
          <w:rPr>
            <w:rStyle w:val="Hyperlink"/>
            <w:noProof/>
          </w:rPr>
          <w:t>FG 45-1, Component 3 is RAN4’s responsibility and can be deleted.</w:t>
        </w:r>
      </w:hyperlink>
    </w:p>
    <w:p w14:paraId="6CD7C3A1" w14:textId="6BAA1662"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61" w:history="1">
        <w:r w:rsidR="007B07D5" w:rsidRPr="00DF4A82">
          <w:rPr>
            <w:rStyle w:val="Hyperlink"/>
            <w:noProof/>
          </w:rPr>
          <w:t>Proposal 8</w:t>
        </w:r>
        <w:r w:rsidR="007B07D5">
          <w:rPr>
            <w:rFonts w:asciiTheme="minorHAnsi" w:eastAsiaTheme="minorEastAsia" w:hAnsiTheme="minorHAnsi"/>
            <w:b w:val="0"/>
            <w:noProof/>
            <w:sz w:val="22"/>
          </w:rPr>
          <w:tab/>
        </w:r>
        <w:r w:rsidR="007B07D5" w:rsidRPr="00DF4A82">
          <w:rPr>
            <w:rStyle w:val="Hyperlink"/>
            <w:noProof/>
          </w:rPr>
          <w:t xml:space="preserve">For FG 45-1, Component 4, support component values L = {2, 3, 4} and M </w:t>
        </w:r>
        <w:r w:rsidR="007B07D5" w:rsidRPr="00DF4A82">
          <w:rPr>
            <w:rStyle w:val="Hyperlink"/>
            <w:noProof/>
          </w:rPr>
          <w:sym w:font="Symbol" w:char="F0B4"/>
        </w:r>
        <w:r w:rsidR="007B07D5" w:rsidRPr="00DF4A82">
          <w:rPr>
            <w:rStyle w:val="Hyperlink"/>
            <w:noProof/>
          </w:rPr>
          <w:t xml:space="preserve"> L= {2 3 4 6 8 9 12 16}.</w:t>
        </w:r>
      </w:hyperlink>
    </w:p>
    <w:p w14:paraId="2C78E855" w14:textId="12264A61"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62" w:history="1">
        <w:r w:rsidR="007B07D5" w:rsidRPr="00DF4A82">
          <w:rPr>
            <w:rStyle w:val="Hyperlink"/>
            <w:noProof/>
          </w:rPr>
          <w:t>Proposal 9</w:t>
        </w:r>
        <w:r w:rsidR="007B07D5">
          <w:rPr>
            <w:rFonts w:asciiTheme="minorHAnsi" w:eastAsiaTheme="minorEastAsia" w:hAnsiTheme="minorHAnsi"/>
            <w:b w:val="0"/>
            <w:noProof/>
            <w:sz w:val="22"/>
          </w:rPr>
          <w:tab/>
        </w:r>
        <w:r w:rsidR="007B07D5" w:rsidRPr="00DF4A82">
          <w:rPr>
            <w:rStyle w:val="Hyperlink"/>
            <w:noProof/>
          </w:rPr>
          <w:t>For FG45-1, Component 5, support values {1, 2, 4, 8, 16}.</w:t>
        </w:r>
      </w:hyperlink>
    </w:p>
    <w:p w14:paraId="3575CDA3" w14:textId="3CB500FA"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63" w:history="1">
        <w:r w:rsidR="007B07D5" w:rsidRPr="00DF4A82">
          <w:rPr>
            <w:rStyle w:val="Hyperlink"/>
            <w:noProof/>
          </w:rPr>
          <w:t>Proposal 10</w:t>
        </w:r>
        <w:r w:rsidR="007B07D5">
          <w:rPr>
            <w:rFonts w:asciiTheme="minorHAnsi" w:eastAsiaTheme="minorEastAsia" w:hAnsiTheme="minorHAnsi"/>
            <w:b w:val="0"/>
            <w:noProof/>
            <w:sz w:val="22"/>
          </w:rPr>
          <w:tab/>
        </w:r>
        <w:r w:rsidR="007B07D5" w:rsidRPr="00DF4A82">
          <w:rPr>
            <w:rStyle w:val="Hyperlink"/>
            <w:noProof/>
          </w:rPr>
          <w:t>For FG 45-1, Component 7, only include ‘aperiodic reporting on PUSCH’ and move ‘periodic reporting on PUCCH’ and ‘semi-persistent reporting on PUCCH/PUSCH’ to separate FGs.</w:t>
        </w:r>
      </w:hyperlink>
    </w:p>
    <w:p w14:paraId="035EA802" w14:textId="3E170454"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64" w:history="1">
        <w:r w:rsidR="007B07D5" w:rsidRPr="00DF4A82">
          <w:rPr>
            <w:rStyle w:val="Hyperlink"/>
            <w:noProof/>
          </w:rPr>
          <w:t>Proposal 11</w:t>
        </w:r>
        <w:r w:rsidR="007B07D5">
          <w:rPr>
            <w:rFonts w:asciiTheme="minorHAnsi" w:eastAsiaTheme="minorEastAsia" w:hAnsiTheme="minorHAnsi"/>
            <w:b w:val="0"/>
            <w:noProof/>
            <w:sz w:val="22"/>
          </w:rPr>
          <w:tab/>
        </w:r>
        <w:r w:rsidR="007B07D5" w:rsidRPr="00DF4A82">
          <w:rPr>
            <w:rStyle w:val="Hyperlink"/>
            <w:noProof/>
          </w:rPr>
          <w:t>Keep FG 45-2 as separate FG, and, for Component 1, change to ‘Support including SpCell by default in the L1 measurement report.’</w:t>
        </w:r>
      </w:hyperlink>
    </w:p>
    <w:p w14:paraId="615FF445" w14:textId="720FDEF9"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65" w:history="1">
        <w:r w:rsidR="007B07D5" w:rsidRPr="00DF4A82">
          <w:rPr>
            <w:rStyle w:val="Hyperlink"/>
            <w:noProof/>
          </w:rPr>
          <w:t>Proposal 12</w:t>
        </w:r>
        <w:r w:rsidR="007B07D5">
          <w:rPr>
            <w:rFonts w:asciiTheme="minorHAnsi" w:eastAsiaTheme="minorEastAsia" w:hAnsiTheme="minorHAnsi"/>
            <w:b w:val="0"/>
            <w:noProof/>
            <w:sz w:val="22"/>
          </w:rPr>
          <w:tab/>
        </w:r>
        <w:r w:rsidR="007B07D5" w:rsidRPr="00DF4A82">
          <w:rPr>
            <w:rStyle w:val="Hyperlink"/>
            <w:noProof/>
          </w:rPr>
          <w:t>Rename FG 45-3 as ‘Beam indication with joint UL/DL LTM TCI states.’</w:t>
        </w:r>
      </w:hyperlink>
    </w:p>
    <w:p w14:paraId="392AE6F7" w14:textId="5894E693"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66" w:history="1">
        <w:r w:rsidR="007B07D5" w:rsidRPr="00DF4A82">
          <w:rPr>
            <w:rStyle w:val="Hyperlink"/>
            <w:noProof/>
          </w:rPr>
          <w:t>Proposal 13</w:t>
        </w:r>
        <w:r w:rsidR="007B07D5">
          <w:rPr>
            <w:rFonts w:asciiTheme="minorHAnsi" w:eastAsiaTheme="minorEastAsia" w:hAnsiTheme="minorHAnsi"/>
            <w:b w:val="0"/>
            <w:noProof/>
            <w:sz w:val="22"/>
          </w:rPr>
          <w:tab/>
        </w:r>
        <w:r w:rsidR="007B07D5" w:rsidRPr="00DF4A82">
          <w:rPr>
            <w:rStyle w:val="Hyperlink"/>
            <w:noProof/>
          </w:rPr>
          <w:t>Rename FG 45-4 as ‘Beam indication with separate UL/DL LTM TCI states.’</w:t>
        </w:r>
      </w:hyperlink>
    </w:p>
    <w:p w14:paraId="3DEB5AC9" w14:textId="3C56A73C"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67" w:history="1">
        <w:r w:rsidR="007B07D5" w:rsidRPr="00DF4A82">
          <w:rPr>
            <w:rStyle w:val="Hyperlink"/>
            <w:noProof/>
          </w:rPr>
          <w:t>Proposal 14</w:t>
        </w:r>
        <w:r w:rsidR="007B07D5">
          <w:rPr>
            <w:rFonts w:asciiTheme="minorHAnsi" w:eastAsiaTheme="minorEastAsia" w:hAnsiTheme="minorHAnsi"/>
            <w:b w:val="0"/>
            <w:noProof/>
            <w:sz w:val="22"/>
          </w:rPr>
          <w:tab/>
        </w:r>
        <w:r w:rsidR="007B07D5" w:rsidRPr="00DF4A82">
          <w:rPr>
            <w:rStyle w:val="Hyperlink"/>
            <w:noProof/>
          </w:rPr>
          <w:t>Rename FG 45-3, Component 2, as ‘Maximum number of configured joint LTM TCI state(s) across all candidate cells.’</w:t>
        </w:r>
      </w:hyperlink>
    </w:p>
    <w:p w14:paraId="0906AEAF" w14:textId="2124A678"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68" w:history="1">
        <w:r w:rsidR="007B07D5" w:rsidRPr="00DF4A82">
          <w:rPr>
            <w:rStyle w:val="Hyperlink"/>
            <w:noProof/>
          </w:rPr>
          <w:t>Proposal 15</w:t>
        </w:r>
        <w:r w:rsidR="007B07D5">
          <w:rPr>
            <w:rFonts w:asciiTheme="minorHAnsi" w:eastAsiaTheme="minorEastAsia" w:hAnsiTheme="minorHAnsi"/>
            <w:b w:val="0"/>
            <w:noProof/>
            <w:sz w:val="22"/>
          </w:rPr>
          <w:tab/>
        </w:r>
        <w:r w:rsidR="007B07D5" w:rsidRPr="00DF4A82">
          <w:rPr>
            <w:rStyle w:val="Hyperlink"/>
            <w:noProof/>
          </w:rPr>
          <w:t>Rename FG 45-4, Component 2, as ‘Maximum number of configured DL LTM TCI state(s) across all candidate cells.’</w:t>
        </w:r>
      </w:hyperlink>
    </w:p>
    <w:p w14:paraId="606824FF" w14:textId="730D3B7E"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69" w:history="1">
        <w:r w:rsidR="007B07D5" w:rsidRPr="00DF4A82">
          <w:rPr>
            <w:rStyle w:val="Hyperlink"/>
            <w:noProof/>
          </w:rPr>
          <w:t>Proposal 16</w:t>
        </w:r>
        <w:r w:rsidR="007B07D5">
          <w:rPr>
            <w:rFonts w:asciiTheme="minorHAnsi" w:eastAsiaTheme="minorEastAsia" w:hAnsiTheme="minorHAnsi"/>
            <w:b w:val="0"/>
            <w:noProof/>
            <w:sz w:val="22"/>
          </w:rPr>
          <w:tab/>
        </w:r>
        <w:r w:rsidR="007B07D5" w:rsidRPr="00DF4A82">
          <w:rPr>
            <w:rStyle w:val="Hyperlink"/>
            <w:noProof/>
          </w:rPr>
          <w:t>Rename FG 45-4, Component 3, as ‘Maximum number of configured UL LTM TCI state(s) across all candidate cells.’</w:t>
        </w:r>
      </w:hyperlink>
    </w:p>
    <w:p w14:paraId="16603809" w14:textId="4BEF28E1"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70" w:history="1">
        <w:r w:rsidR="007B07D5" w:rsidRPr="00DF4A82">
          <w:rPr>
            <w:rStyle w:val="Hyperlink"/>
            <w:noProof/>
          </w:rPr>
          <w:t>Proposal 17</w:t>
        </w:r>
        <w:r w:rsidR="007B07D5">
          <w:rPr>
            <w:rFonts w:asciiTheme="minorHAnsi" w:eastAsiaTheme="minorEastAsia" w:hAnsiTheme="minorHAnsi"/>
            <w:b w:val="0"/>
            <w:noProof/>
            <w:sz w:val="22"/>
          </w:rPr>
          <w:tab/>
        </w:r>
        <w:r w:rsidR="007B07D5" w:rsidRPr="00DF4A82">
          <w:rPr>
            <w:rStyle w:val="Hyperlink"/>
            <w:noProof/>
          </w:rPr>
          <w:t>For FG 45-3 and FG 45-4, delete Component 4 and Component 5.</w:t>
        </w:r>
      </w:hyperlink>
    </w:p>
    <w:p w14:paraId="04526C3E" w14:textId="6E4C18A1"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71" w:history="1">
        <w:r w:rsidR="007B07D5" w:rsidRPr="00DF4A82">
          <w:rPr>
            <w:rStyle w:val="Hyperlink"/>
            <w:noProof/>
          </w:rPr>
          <w:t>Proposal 18</w:t>
        </w:r>
        <w:r w:rsidR="007B07D5">
          <w:rPr>
            <w:rFonts w:asciiTheme="minorHAnsi" w:eastAsiaTheme="minorEastAsia" w:hAnsiTheme="minorHAnsi"/>
            <w:b w:val="0"/>
            <w:noProof/>
            <w:sz w:val="22"/>
          </w:rPr>
          <w:tab/>
        </w:r>
        <w:r w:rsidR="007B07D5" w:rsidRPr="00DF4A82">
          <w:rPr>
            <w:rStyle w:val="Hyperlink"/>
            <w:noProof/>
          </w:rPr>
          <w:t>Rename FG 45-3a, Component 1, as ‘Maximum number of MAC CE activated joint LTM TCI state(s) across all candidate cells and joint TCI states across all serving cells.’</w:t>
        </w:r>
      </w:hyperlink>
    </w:p>
    <w:p w14:paraId="690F3820" w14:textId="293CB716"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72" w:history="1">
        <w:r w:rsidR="007B07D5" w:rsidRPr="00DF4A82">
          <w:rPr>
            <w:rStyle w:val="Hyperlink"/>
            <w:noProof/>
          </w:rPr>
          <w:t>Proposal 19</w:t>
        </w:r>
        <w:r w:rsidR="007B07D5">
          <w:rPr>
            <w:rFonts w:asciiTheme="minorHAnsi" w:eastAsiaTheme="minorEastAsia" w:hAnsiTheme="minorHAnsi"/>
            <w:b w:val="0"/>
            <w:noProof/>
            <w:sz w:val="22"/>
          </w:rPr>
          <w:tab/>
        </w:r>
        <w:r w:rsidR="007B07D5" w:rsidRPr="00DF4A82">
          <w:rPr>
            <w:rStyle w:val="Hyperlink"/>
            <w:noProof/>
          </w:rPr>
          <w:t>Rename FG 45-4a, Component 1, as ‘Maximum number K1 of MAC-CE activated DL LTM TCI states across all candidate cell and DL TCI states across all serving cells.’</w:t>
        </w:r>
      </w:hyperlink>
    </w:p>
    <w:p w14:paraId="07E906E9" w14:textId="11B963C7"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73" w:history="1">
        <w:r w:rsidR="007B07D5" w:rsidRPr="00DF4A82">
          <w:rPr>
            <w:rStyle w:val="Hyperlink"/>
            <w:noProof/>
          </w:rPr>
          <w:t>Proposal 20</w:t>
        </w:r>
        <w:r w:rsidR="007B07D5">
          <w:rPr>
            <w:rFonts w:asciiTheme="minorHAnsi" w:eastAsiaTheme="minorEastAsia" w:hAnsiTheme="minorHAnsi"/>
            <w:b w:val="0"/>
            <w:noProof/>
            <w:sz w:val="22"/>
          </w:rPr>
          <w:tab/>
        </w:r>
        <w:r w:rsidR="007B07D5" w:rsidRPr="00DF4A82">
          <w:rPr>
            <w:rStyle w:val="Hyperlink"/>
            <w:noProof/>
          </w:rPr>
          <w:t>Rename FG 45-4a, Component 1, as ‘Maximum number K2 of MAC-CE activated UL LTM TCI states across all candidate cells and UL TCI states across all serving cells.’</w:t>
        </w:r>
      </w:hyperlink>
    </w:p>
    <w:p w14:paraId="11BABF9C" w14:textId="724D7D37"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74" w:history="1">
        <w:r w:rsidR="007B07D5" w:rsidRPr="00DF4A82">
          <w:rPr>
            <w:rStyle w:val="Hyperlink"/>
            <w:noProof/>
          </w:rPr>
          <w:t>Proposal 21</w:t>
        </w:r>
        <w:r w:rsidR="007B07D5">
          <w:rPr>
            <w:rFonts w:asciiTheme="minorHAnsi" w:eastAsiaTheme="minorEastAsia" w:hAnsiTheme="minorHAnsi"/>
            <w:b w:val="0"/>
            <w:noProof/>
            <w:sz w:val="22"/>
          </w:rPr>
          <w:tab/>
        </w:r>
        <w:r w:rsidR="007B07D5" w:rsidRPr="00DF4A82">
          <w:rPr>
            <w:rStyle w:val="Hyperlink"/>
            <w:noProof/>
          </w:rPr>
          <w:t>Rename FG 45-4a as ‘</w:t>
        </w:r>
        <w:r w:rsidR="007B07D5" w:rsidRPr="00DF4A82">
          <w:rPr>
            <w:rStyle w:val="Hyperlink"/>
            <w:noProof/>
            <w:lang w:val="en-US"/>
          </w:rPr>
          <w:t>MAC-CE activated separate DL/UL LTM TCI states.</w:t>
        </w:r>
        <w:r w:rsidR="007B07D5" w:rsidRPr="00DF4A82">
          <w:rPr>
            <w:rStyle w:val="Hyperlink"/>
            <w:noProof/>
          </w:rPr>
          <w:t>’</w:t>
        </w:r>
      </w:hyperlink>
    </w:p>
    <w:p w14:paraId="44558888" w14:textId="4CB5AF23"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75" w:history="1">
        <w:r w:rsidR="007B07D5" w:rsidRPr="00DF4A82">
          <w:rPr>
            <w:rStyle w:val="Hyperlink"/>
            <w:noProof/>
          </w:rPr>
          <w:t>Proposal 22</w:t>
        </w:r>
        <w:r w:rsidR="007B07D5">
          <w:rPr>
            <w:rFonts w:asciiTheme="minorHAnsi" w:eastAsiaTheme="minorEastAsia" w:hAnsiTheme="minorHAnsi"/>
            <w:b w:val="0"/>
            <w:noProof/>
            <w:sz w:val="22"/>
          </w:rPr>
          <w:tab/>
        </w:r>
        <w:r w:rsidR="007B07D5" w:rsidRPr="00DF4A82">
          <w:rPr>
            <w:rStyle w:val="Hyperlink"/>
            <w:noProof/>
          </w:rPr>
          <w:t>For FG 45-5, Component 1, remove the text within brackets.</w:t>
        </w:r>
      </w:hyperlink>
    </w:p>
    <w:p w14:paraId="2063A07A" w14:textId="0D1E63C5"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76" w:history="1">
        <w:r w:rsidR="007B07D5" w:rsidRPr="00DF4A82">
          <w:rPr>
            <w:rStyle w:val="Hyperlink"/>
            <w:noProof/>
          </w:rPr>
          <w:t>Proposal 23</w:t>
        </w:r>
        <w:r w:rsidR="007B07D5">
          <w:rPr>
            <w:rFonts w:asciiTheme="minorHAnsi" w:eastAsiaTheme="minorEastAsia" w:hAnsiTheme="minorHAnsi"/>
            <w:b w:val="0"/>
            <w:noProof/>
            <w:sz w:val="22"/>
          </w:rPr>
          <w:tab/>
        </w:r>
        <w:r w:rsidR="007B07D5" w:rsidRPr="00DF4A82">
          <w:rPr>
            <w:rStyle w:val="Hyperlink"/>
            <w:noProof/>
          </w:rPr>
          <w:t>Include FG 45-5, Component 3 in FG 45-1.</w:t>
        </w:r>
      </w:hyperlink>
    </w:p>
    <w:p w14:paraId="29101E58" w14:textId="59F88332"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77" w:history="1">
        <w:r w:rsidR="007B07D5" w:rsidRPr="00DF4A82">
          <w:rPr>
            <w:rStyle w:val="Hyperlink"/>
            <w:noProof/>
          </w:rPr>
          <w:t>Proposal 24</w:t>
        </w:r>
        <w:r w:rsidR="007B07D5">
          <w:rPr>
            <w:rFonts w:asciiTheme="minorHAnsi" w:eastAsiaTheme="minorEastAsia" w:hAnsiTheme="minorHAnsi"/>
            <w:b w:val="0"/>
            <w:noProof/>
            <w:sz w:val="22"/>
          </w:rPr>
          <w:tab/>
        </w:r>
        <w:r w:rsidR="007B07D5" w:rsidRPr="00DF4A82">
          <w:rPr>
            <w:rStyle w:val="Hyperlink"/>
            <w:noProof/>
          </w:rPr>
          <w:t>Merge FG 45-7 as a separate component into FG 45-3 and FG 45-4 and remove the statement “with and without RACH.”</w:t>
        </w:r>
      </w:hyperlink>
    </w:p>
    <w:p w14:paraId="6A68EE62" w14:textId="54561CFF" w:rsidR="007B07D5" w:rsidRDefault="007C0B39" w:rsidP="007B07D5">
      <w:pPr>
        <w:pStyle w:val="TableofFigures"/>
        <w:tabs>
          <w:tab w:val="right" w:leader="dot" w:pos="9629"/>
        </w:tabs>
        <w:jc w:val="both"/>
        <w:rPr>
          <w:rFonts w:asciiTheme="minorHAnsi" w:eastAsiaTheme="minorEastAsia" w:hAnsiTheme="minorHAnsi"/>
          <w:b w:val="0"/>
          <w:noProof/>
          <w:sz w:val="22"/>
        </w:rPr>
      </w:pPr>
      <w:hyperlink w:anchor="_Toc146901878" w:history="1">
        <w:r w:rsidR="007B07D5" w:rsidRPr="00DF4A82">
          <w:rPr>
            <w:rStyle w:val="Hyperlink"/>
            <w:noProof/>
          </w:rPr>
          <w:t>Proposal 25</w:t>
        </w:r>
        <w:r w:rsidR="007B07D5">
          <w:rPr>
            <w:rFonts w:asciiTheme="minorHAnsi" w:eastAsiaTheme="minorEastAsia" w:hAnsiTheme="minorHAnsi"/>
            <w:b w:val="0"/>
            <w:noProof/>
            <w:sz w:val="22"/>
          </w:rPr>
          <w:tab/>
        </w:r>
        <w:r w:rsidR="007B07D5" w:rsidRPr="00DF4A82">
          <w:rPr>
            <w:rStyle w:val="Hyperlink"/>
            <w:noProof/>
          </w:rPr>
          <w:t>Introduce a new FG for solution 4:  RACH after receiving cell-switch command.</w:t>
        </w:r>
      </w:hyperlink>
    </w:p>
    <w:p w14:paraId="58ACA235" w14:textId="3B6320E3" w:rsidR="00C01F33" w:rsidRPr="00CE0424" w:rsidRDefault="006E1C82" w:rsidP="007B07D5">
      <w:r>
        <w:fldChar w:fldCharType="end"/>
      </w:r>
      <w:r w:rsidRPr="00CE0424">
        <w:t xml:space="preserve"> </w:t>
      </w:r>
    </w:p>
    <w:p w14:paraId="71D79D99" w14:textId="77777777" w:rsidR="00F507D1" w:rsidRPr="00CE0424" w:rsidRDefault="00F507D1" w:rsidP="00CE0424">
      <w:pPr>
        <w:pStyle w:val="Heading1"/>
      </w:pPr>
      <w:bookmarkStart w:id="37" w:name="_In-sequence_SDU_delivery"/>
      <w:bookmarkEnd w:id="37"/>
      <w:r w:rsidRPr="00CE0424">
        <w:t>References</w:t>
      </w:r>
    </w:p>
    <w:p w14:paraId="453D74FD" w14:textId="41C66F86" w:rsidR="00A255BC" w:rsidRPr="00CE0424" w:rsidRDefault="00A255BC" w:rsidP="00A255BC">
      <w:pPr>
        <w:pStyle w:val="Reference"/>
      </w:pPr>
      <w:bookmarkStart w:id="38" w:name="_Ref146901783"/>
      <w:bookmarkStart w:id="39" w:name="_Ref146699815"/>
      <w:bookmarkStart w:id="40" w:name="_Ref174151459"/>
      <w:bookmarkStart w:id="41" w:name="_Ref189809556"/>
      <w:r w:rsidRPr="00BD75D5">
        <w:t>R1-2308521</w:t>
      </w:r>
      <w:r w:rsidRPr="004A33F1">
        <w:rPr>
          <w:szCs w:val="20"/>
        </w:rPr>
        <w:t>, “</w:t>
      </w:r>
      <w:r w:rsidRPr="00BD75D5">
        <w:rPr>
          <w:szCs w:val="20"/>
        </w:rPr>
        <w:t>Updated RAN1 UE features list for Rel-18 NR after RAN1#114</w:t>
      </w:r>
      <w:r w:rsidRPr="004A33F1">
        <w:rPr>
          <w:szCs w:val="20"/>
        </w:rPr>
        <w:t>”,</w:t>
      </w:r>
      <w:r w:rsidRPr="00CE0424">
        <w:t xml:space="preserve"> </w:t>
      </w:r>
      <w:r>
        <w:t>Moderators (AT&amp;T, NTT DOCOMO), RAN1 #114, August 2023.</w:t>
      </w:r>
      <w:bookmarkEnd w:id="38"/>
    </w:p>
    <w:p w14:paraId="715CA09B" w14:textId="59ECCEFA" w:rsidR="003A7EF3" w:rsidRPr="00CE0424" w:rsidRDefault="009963D7" w:rsidP="00DD587D">
      <w:pPr>
        <w:pStyle w:val="Reference"/>
      </w:pPr>
      <w:bookmarkStart w:id="42" w:name="_Ref146901820"/>
      <w:r w:rsidRPr="00DF5DFB">
        <w:t>R4-2303175, “WF on NR Mobility Enhancements RRM requirements (part 1),” MediaTek</w:t>
      </w:r>
      <w:r w:rsidR="00DF5DFB" w:rsidRPr="00DF5DFB">
        <w:t>, RAN4 #106, February 2023.</w:t>
      </w:r>
      <w:bookmarkEnd w:id="39"/>
      <w:bookmarkEnd w:id="40"/>
      <w:bookmarkEnd w:id="41"/>
      <w:bookmarkEnd w:id="42"/>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F3731" w14:textId="77777777" w:rsidR="00CB1185" w:rsidRDefault="00CB1185" w:rsidP="0055642E">
      <w:r>
        <w:separator/>
      </w:r>
    </w:p>
  </w:endnote>
  <w:endnote w:type="continuationSeparator" w:id="0">
    <w:p w14:paraId="622673ED" w14:textId="77777777" w:rsidR="00CB1185" w:rsidRDefault="00CB1185" w:rsidP="0055642E">
      <w:r>
        <w:continuationSeparator/>
      </w:r>
    </w:p>
  </w:endnote>
  <w:endnote w:type="continuationNotice" w:id="1">
    <w:p w14:paraId="6EF77FB0" w14:textId="77777777" w:rsidR="00CB1185" w:rsidRDefault="00CB1185" w:rsidP="00556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76E63" w14:textId="77777777" w:rsidR="00CB1185" w:rsidRDefault="00CB1185" w:rsidP="0055642E">
      <w:r>
        <w:separator/>
      </w:r>
    </w:p>
  </w:footnote>
  <w:footnote w:type="continuationSeparator" w:id="0">
    <w:p w14:paraId="68582C50" w14:textId="77777777" w:rsidR="00CB1185" w:rsidRDefault="00CB1185" w:rsidP="0055642E">
      <w:r>
        <w:continuationSeparator/>
      </w:r>
    </w:p>
  </w:footnote>
  <w:footnote w:type="continuationNotice" w:id="1">
    <w:p w14:paraId="7FD1CC82" w14:textId="77777777" w:rsidR="00CB1185" w:rsidRDefault="00CB1185" w:rsidP="005564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sidP="0055642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40B3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2CA2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6280D"/>
    <w:multiLevelType w:val="multilevel"/>
    <w:tmpl w:val="5D1A0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034EF0"/>
    <w:multiLevelType w:val="hybridMultilevel"/>
    <w:tmpl w:val="3342D35C"/>
    <w:lvl w:ilvl="0" w:tplc="1506001E">
      <w:numFmt w:val="bullet"/>
      <w:pStyle w:val="ListParagraph"/>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421679576">
    <w:abstractNumId w:val="3"/>
  </w:num>
  <w:num w:numId="2" w16cid:durableId="1424183402">
    <w:abstractNumId w:val="15"/>
  </w:num>
  <w:num w:numId="3" w16cid:durableId="2139951398">
    <w:abstractNumId w:val="11"/>
  </w:num>
  <w:num w:numId="4" w16cid:durableId="1358388376">
    <w:abstractNumId w:val="12"/>
  </w:num>
  <w:num w:numId="5" w16cid:durableId="239217641">
    <w:abstractNumId w:val="8"/>
  </w:num>
  <w:num w:numId="6" w16cid:durableId="516968286">
    <w:abstractNumId w:val="14"/>
  </w:num>
  <w:num w:numId="7" w16cid:durableId="927419290">
    <w:abstractNumId w:val="20"/>
  </w:num>
  <w:num w:numId="8" w16cid:durableId="963656195">
    <w:abstractNumId w:val="9"/>
  </w:num>
  <w:num w:numId="9" w16cid:durableId="1571574340">
    <w:abstractNumId w:val="7"/>
  </w:num>
  <w:num w:numId="10" w16cid:durableId="216741544">
    <w:abstractNumId w:val="2"/>
  </w:num>
  <w:num w:numId="11" w16cid:durableId="1680499984">
    <w:abstractNumId w:val="1"/>
  </w:num>
  <w:num w:numId="12" w16cid:durableId="974870878">
    <w:abstractNumId w:val="0"/>
  </w:num>
  <w:num w:numId="13" w16cid:durableId="1463377576">
    <w:abstractNumId w:val="16"/>
  </w:num>
  <w:num w:numId="14" w16cid:durableId="355695951">
    <w:abstractNumId w:val="17"/>
  </w:num>
  <w:num w:numId="15" w16cid:durableId="510140840">
    <w:abstractNumId w:val="13"/>
  </w:num>
  <w:num w:numId="16" w16cid:durableId="1583491221">
    <w:abstractNumId w:val="21"/>
  </w:num>
  <w:num w:numId="17" w16cid:durableId="175073493">
    <w:abstractNumId w:val="5"/>
  </w:num>
  <w:num w:numId="18" w16cid:durableId="1995406528">
    <w:abstractNumId w:val="6"/>
  </w:num>
  <w:num w:numId="19" w16cid:durableId="628584912">
    <w:abstractNumId w:val="4"/>
  </w:num>
  <w:num w:numId="20" w16cid:durableId="438917745">
    <w:abstractNumId w:val="25"/>
  </w:num>
  <w:num w:numId="21" w16cid:durableId="1410928980">
    <w:abstractNumId w:val="10"/>
  </w:num>
  <w:num w:numId="22" w16cid:durableId="637488777">
    <w:abstractNumId w:val="24"/>
  </w:num>
  <w:num w:numId="23" w16cid:durableId="44640840">
    <w:abstractNumId w:val="23"/>
  </w:num>
  <w:num w:numId="24" w16cid:durableId="274949547">
    <w:abstractNumId w:val="19"/>
  </w:num>
  <w:num w:numId="25" w16cid:durableId="691808534">
    <w:abstractNumId w:val="22"/>
  </w:num>
  <w:num w:numId="26" w16cid:durableId="149206674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849"/>
    <w:rsid w:val="00002A37"/>
    <w:rsid w:val="000041E3"/>
    <w:rsid w:val="0000564C"/>
    <w:rsid w:val="00006446"/>
    <w:rsid w:val="00006896"/>
    <w:rsid w:val="00007CDC"/>
    <w:rsid w:val="00011B28"/>
    <w:rsid w:val="00014623"/>
    <w:rsid w:val="00015D15"/>
    <w:rsid w:val="00024F78"/>
    <w:rsid w:val="0002564D"/>
    <w:rsid w:val="00025ECA"/>
    <w:rsid w:val="00032479"/>
    <w:rsid w:val="000325B8"/>
    <w:rsid w:val="00034945"/>
    <w:rsid w:val="00034C15"/>
    <w:rsid w:val="00034D77"/>
    <w:rsid w:val="00036BA1"/>
    <w:rsid w:val="0004110B"/>
    <w:rsid w:val="000422E2"/>
    <w:rsid w:val="00042F22"/>
    <w:rsid w:val="000444EF"/>
    <w:rsid w:val="00047ADB"/>
    <w:rsid w:val="00052A07"/>
    <w:rsid w:val="000534E3"/>
    <w:rsid w:val="0005606A"/>
    <w:rsid w:val="00057117"/>
    <w:rsid w:val="00060E74"/>
    <w:rsid w:val="000616E7"/>
    <w:rsid w:val="0006487E"/>
    <w:rsid w:val="00064A5F"/>
    <w:rsid w:val="00065E1A"/>
    <w:rsid w:val="00077E5F"/>
    <w:rsid w:val="0008036A"/>
    <w:rsid w:val="00081AE6"/>
    <w:rsid w:val="00082F53"/>
    <w:rsid w:val="000855EB"/>
    <w:rsid w:val="00085B52"/>
    <w:rsid w:val="000866F2"/>
    <w:rsid w:val="0009009F"/>
    <w:rsid w:val="00091557"/>
    <w:rsid w:val="000924C1"/>
    <w:rsid w:val="000924F0"/>
    <w:rsid w:val="00093474"/>
    <w:rsid w:val="0009510F"/>
    <w:rsid w:val="00095781"/>
    <w:rsid w:val="00096F2B"/>
    <w:rsid w:val="000A1B7B"/>
    <w:rsid w:val="000A56F2"/>
    <w:rsid w:val="000B2719"/>
    <w:rsid w:val="000B3A8F"/>
    <w:rsid w:val="000B4AB9"/>
    <w:rsid w:val="000B58C3"/>
    <w:rsid w:val="000B61E9"/>
    <w:rsid w:val="000C165A"/>
    <w:rsid w:val="000C2E19"/>
    <w:rsid w:val="000D0D07"/>
    <w:rsid w:val="000D4797"/>
    <w:rsid w:val="000E0527"/>
    <w:rsid w:val="000E1B63"/>
    <w:rsid w:val="000E1E92"/>
    <w:rsid w:val="000E22D7"/>
    <w:rsid w:val="000F06D6"/>
    <w:rsid w:val="000F0EB1"/>
    <w:rsid w:val="000F1106"/>
    <w:rsid w:val="000F3BE9"/>
    <w:rsid w:val="000F3F6C"/>
    <w:rsid w:val="000F4874"/>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255"/>
    <w:rsid w:val="00151E23"/>
    <w:rsid w:val="001526E0"/>
    <w:rsid w:val="001551B5"/>
    <w:rsid w:val="001659C1"/>
    <w:rsid w:val="00170604"/>
    <w:rsid w:val="00173A8E"/>
    <w:rsid w:val="0017502C"/>
    <w:rsid w:val="0018143F"/>
    <w:rsid w:val="00181FF8"/>
    <w:rsid w:val="00190AC1"/>
    <w:rsid w:val="0019341A"/>
    <w:rsid w:val="00197DF9"/>
    <w:rsid w:val="001A1987"/>
    <w:rsid w:val="001A2564"/>
    <w:rsid w:val="001A6173"/>
    <w:rsid w:val="001A6CBA"/>
    <w:rsid w:val="001B0D97"/>
    <w:rsid w:val="001B5A5D"/>
    <w:rsid w:val="001C04A9"/>
    <w:rsid w:val="001C1CE5"/>
    <w:rsid w:val="001C3D2A"/>
    <w:rsid w:val="001D1362"/>
    <w:rsid w:val="001D51BA"/>
    <w:rsid w:val="001D53E7"/>
    <w:rsid w:val="001D6342"/>
    <w:rsid w:val="001D6D53"/>
    <w:rsid w:val="001E58E2"/>
    <w:rsid w:val="001E60E8"/>
    <w:rsid w:val="001E7AED"/>
    <w:rsid w:val="001F0B65"/>
    <w:rsid w:val="001F3916"/>
    <w:rsid w:val="001F54C5"/>
    <w:rsid w:val="001F662C"/>
    <w:rsid w:val="001F7074"/>
    <w:rsid w:val="00200490"/>
    <w:rsid w:val="00201F3A"/>
    <w:rsid w:val="00203F96"/>
    <w:rsid w:val="0020569D"/>
    <w:rsid w:val="002069B2"/>
    <w:rsid w:val="00207AFF"/>
    <w:rsid w:val="00207FA3"/>
    <w:rsid w:val="00214DA8"/>
    <w:rsid w:val="00215423"/>
    <w:rsid w:val="002158FA"/>
    <w:rsid w:val="00220600"/>
    <w:rsid w:val="002224DB"/>
    <w:rsid w:val="00223F49"/>
    <w:rsid w:val="00223FCB"/>
    <w:rsid w:val="002252C3"/>
    <w:rsid w:val="00225C54"/>
    <w:rsid w:val="00230765"/>
    <w:rsid w:val="00230D18"/>
    <w:rsid w:val="002319E4"/>
    <w:rsid w:val="00235632"/>
    <w:rsid w:val="00235872"/>
    <w:rsid w:val="00241559"/>
    <w:rsid w:val="00241832"/>
    <w:rsid w:val="00242A6E"/>
    <w:rsid w:val="002435B3"/>
    <w:rsid w:val="002458EB"/>
    <w:rsid w:val="002500C8"/>
    <w:rsid w:val="00257543"/>
    <w:rsid w:val="002617E7"/>
    <w:rsid w:val="00264228"/>
    <w:rsid w:val="00264334"/>
    <w:rsid w:val="0026473E"/>
    <w:rsid w:val="00265B25"/>
    <w:rsid w:val="00266214"/>
    <w:rsid w:val="00267C83"/>
    <w:rsid w:val="0027144F"/>
    <w:rsid w:val="00271813"/>
    <w:rsid w:val="00271F3A"/>
    <w:rsid w:val="00273278"/>
    <w:rsid w:val="002737F4"/>
    <w:rsid w:val="002805F5"/>
    <w:rsid w:val="00280751"/>
    <w:rsid w:val="0028280A"/>
    <w:rsid w:val="00284392"/>
    <w:rsid w:val="00286ACD"/>
    <w:rsid w:val="00287838"/>
    <w:rsid w:val="002907B5"/>
    <w:rsid w:val="00292EB7"/>
    <w:rsid w:val="00296227"/>
    <w:rsid w:val="00296F44"/>
    <w:rsid w:val="0029777D"/>
    <w:rsid w:val="002A055E"/>
    <w:rsid w:val="002A08B0"/>
    <w:rsid w:val="002A1D4E"/>
    <w:rsid w:val="002A2869"/>
    <w:rsid w:val="002A578E"/>
    <w:rsid w:val="002B1ED4"/>
    <w:rsid w:val="002B24D6"/>
    <w:rsid w:val="002C41E6"/>
    <w:rsid w:val="002D071A"/>
    <w:rsid w:val="002D34B2"/>
    <w:rsid w:val="002D48B0"/>
    <w:rsid w:val="002D5B37"/>
    <w:rsid w:val="002D7637"/>
    <w:rsid w:val="002E17F2"/>
    <w:rsid w:val="002E4D2A"/>
    <w:rsid w:val="002E7CAE"/>
    <w:rsid w:val="002F13E4"/>
    <w:rsid w:val="002F2771"/>
    <w:rsid w:val="002F37A9"/>
    <w:rsid w:val="00300CE3"/>
    <w:rsid w:val="00301CE6"/>
    <w:rsid w:val="00301D0E"/>
    <w:rsid w:val="0030256B"/>
    <w:rsid w:val="0030501F"/>
    <w:rsid w:val="00307BA1"/>
    <w:rsid w:val="0031075B"/>
    <w:rsid w:val="00311702"/>
    <w:rsid w:val="00311E82"/>
    <w:rsid w:val="00313FD6"/>
    <w:rsid w:val="003143BD"/>
    <w:rsid w:val="00315363"/>
    <w:rsid w:val="00316DAB"/>
    <w:rsid w:val="003203ED"/>
    <w:rsid w:val="00321E9E"/>
    <w:rsid w:val="00322C9F"/>
    <w:rsid w:val="00324D23"/>
    <w:rsid w:val="00331751"/>
    <w:rsid w:val="00334579"/>
    <w:rsid w:val="00335858"/>
    <w:rsid w:val="00336BDA"/>
    <w:rsid w:val="00340622"/>
    <w:rsid w:val="00342BD7"/>
    <w:rsid w:val="00344A2F"/>
    <w:rsid w:val="00346DB5"/>
    <w:rsid w:val="003477B1"/>
    <w:rsid w:val="00357380"/>
    <w:rsid w:val="003602D9"/>
    <w:rsid w:val="003604CE"/>
    <w:rsid w:val="003612C4"/>
    <w:rsid w:val="00361688"/>
    <w:rsid w:val="003671F4"/>
    <w:rsid w:val="00370E47"/>
    <w:rsid w:val="00371D1A"/>
    <w:rsid w:val="003742AC"/>
    <w:rsid w:val="00376F62"/>
    <w:rsid w:val="00377CE1"/>
    <w:rsid w:val="00385BF0"/>
    <w:rsid w:val="003939FF"/>
    <w:rsid w:val="003A2223"/>
    <w:rsid w:val="003A2A0F"/>
    <w:rsid w:val="003A45A1"/>
    <w:rsid w:val="003A5B0A"/>
    <w:rsid w:val="003A6BAC"/>
    <w:rsid w:val="003A70A4"/>
    <w:rsid w:val="003A7EF3"/>
    <w:rsid w:val="003B12C2"/>
    <w:rsid w:val="003B159C"/>
    <w:rsid w:val="003B369F"/>
    <w:rsid w:val="003B36A3"/>
    <w:rsid w:val="003B64BB"/>
    <w:rsid w:val="003B7FE5"/>
    <w:rsid w:val="003C11C8"/>
    <w:rsid w:val="003C1545"/>
    <w:rsid w:val="003C2702"/>
    <w:rsid w:val="003C6252"/>
    <w:rsid w:val="003C7806"/>
    <w:rsid w:val="003D109F"/>
    <w:rsid w:val="003D2478"/>
    <w:rsid w:val="003D3C45"/>
    <w:rsid w:val="003D5B1F"/>
    <w:rsid w:val="003E15FA"/>
    <w:rsid w:val="003E55E4"/>
    <w:rsid w:val="003E74E3"/>
    <w:rsid w:val="003F05C7"/>
    <w:rsid w:val="003F2CD4"/>
    <w:rsid w:val="003F5B1C"/>
    <w:rsid w:val="003F6BBE"/>
    <w:rsid w:val="004000E8"/>
    <w:rsid w:val="00400B9C"/>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542A"/>
    <w:rsid w:val="00426E94"/>
    <w:rsid w:val="00427248"/>
    <w:rsid w:val="004342E0"/>
    <w:rsid w:val="00434F3D"/>
    <w:rsid w:val="00437447"/>
    <w:rsid w:val="00441A92"/>
    <w:rsid w:val="004431DC"/>
    <w:rsid w:val="00444BA0"/>
    <w:rsid w:val="00444F56"/>
    <w:rsid w:val="00446422"/>
    <w:rsid w:val="00446488"/>
    <w:rsid w:val="004517AA"/>
    <w:rsid w:val="00452CAC"/>
    <w:rsid w:val="00454A89"/>
    <w:rsid w:val="00457565"/>
    <w:rsid w:val="00457B71"/>
    <w:rsid w:val="00464689"/>
    <w:rsid w:val="004669E2"/>
    <w:rsid w:val="00470C31"/>
    <w:rsid w:val="0047116E"/>
    <w:rsid w:val="00471DE0"/>
    <w:rsid w:val="00471ED5"/>
    <w:rsid w:val="004734D0"/>
    <w:rsid w:val="0047556B"/>
    <w:rsid w:val="00477768"/>
    <w:rsid w:val="00492BC5"/>
    <w:rsid w:val="004964F1"/>
    <w:rsid w:val="0049764F"/>
    <w:rsid w:val="004A16BC"/>
    <w:rsid w:val="004A2B94"/>
    <w:rsid w:val="004A6643"/>
    <w:rsid w:val="004B176C"/>
    <w:rsid w:val="004B24A2"/>
    <w:rsid w:val="004B58D5"/>
    <w:rsid w:val="004B6F6A"/>
    <w:rsid w:val="004B7C0C"/>
    <w:rsid w:val="004C233F"/>
    <w:rsid w:val="004C24C2"/>
    <w:rsid w:val="004C3898"/>
    <w:rsid w:val="004D32AB"/>
    <w:rsid w:val="004D36B1"/>
    <w:rsid w:val="004D7A3F"/>
    <w:rsid w:val="004D7EBD"/>
    <w:rsid w:val="004E2680"/>
    <w:rsid w:val="004E28F9"/>
    <w:rsid w:val="004E462E"/>
    <w:rsid w:val="004E56DC"/>
    <w:rsid w:val="004E76F4"/>
    <w:rsid w:val="004F0B4E"/>
    <w:rsid w:val="004F0B6C"/>
    <w:rsid w:val="004F2078"/>
    <w:rsid w:val="004F2C51"/>
    <w:rsid w:val="004F4DA3"/>
    <w:rsid w:val="00506557"/>
    <w:rsid w:val="0050677A"/>
    <w:rsid w:val="005108D8"/>
    <w:rsid w:val="005116F9"/>
    <w:rsid w:val="00514BB3"/>
    <w:rsid w:val="005153A7"/>
    <w:rsid w:val="005219CF"/>
    <w:rsid w:val="00524C7E"/>
    <w:rsid w:val="005260AC"/>
    <w:rsid w:val="00534B59"/>
    <w:rsid w:val="00536759"/>
    <w:rsid w:val="00537C62"/>
    <w:rsid w:val="00546970"/>
    <w:rsid w:val="00546BF4"/>
    <w:rsid w:val="00554E19"/>
    <w:rsid w:val="0055642E"/>
    <w:rsid w:val="00557F0F"/>
    <w:rsid w:val="0056121F"/>
    <w:rsid w:val="00562C4C"/>
    <w:rsid w:val="00572505"/>
    <w:rsid w:val="00577BB9"/>
    <w:rsid w:val="00582809"/>
    <w:rsid w:val="005868B3"/>
    <w:rsid w:val="005875BA"/>
    <w:rsid w:val="0058798C"/>
    <w:rsid w:val="005900FA"/>
    <w:rsid w:val="005935A4"/>
    <w:rsid w:val="005948C2"/>
    <w:rsid w:val="005959D1"/>
    <w:rsid w:val="00595DCA"/>
    <w:rsid w:val="0059779B"/>
    <w:rsid w:val="005A209A"/>
    <w:rsid w:val="005A662D"/>
    <w:rsid w:val="005B1409"/>
    <w:rsid w:val="005B35D7"/>
    <w:rsid w:val="005B392A"/>
    <w:rsid w:val="005B3AA3"/>
    <w:rsid w:val="005B6F83"/>
    <w:rsid w:val="005C2837"/>
    <w:rsid w:val="005C5EE1"/>
    <w:rsid w:val="005C74FB"/>
    <w:rsid w:val="005D1602"/>
    <w:rsid w:val="005D2EA4"/>
    <w:rsid w:val="005D70B8"/>
    <w:rsid w:val="005E385F"/>
    <w:rsid w:val="005E3AC4"/>
    <w:rsid w:val="005E5B81"/>
    <w:rsid w:val="005F2CB1"/>
    <w:rsid w:val="005F3025"/>
    <w:rsid w:val="005F5911"/>
    <w:rsid w:val="005F618C"/>
    <w:rsid w:val="005F70BD"/>
    <w:rsid w:val="006002AB"/>
    <w:rsid w:val="00601848"/>
    <w:rsid w:val="0060283C"/>
    <w:rsid w:val="00604F14"/>
    <w:rsid w:val="006059F2"/>
    <w:rsid w:val="00611B83"/>
    <w:rsid w:val="00613257"/>
    <w:rsid w:val="006133F6"/>
    <w:rsid w:val="00615CE8"/>
    <w:rsid w:val="00620A71"/>
    <w:rsid w:val="00620D80"/>
    <w:rsid w:val="006234A6"/>
    <w:rsid w:val="00630001"/>
    <w:rsid w:val="00630A59"/>
    <w:rsid w:val="0063101A"/>
    <w:rsid w:val="006311B3"/>
    <w:rsid w:val="0063284C"/>
    <w:rsid w:val="00636398"/>
    <w:rsid w:val="006368D3"/>
    <w:rsid w:val="006377EC"/>
    <w:rsid w:val="0064151F"/>
    <w:rsid w:val="00641533"/>
    <w:rsid w:val="00641715"/>
    <w:rsid w:val="0064208D"/>
    <w:rsid w:val="00643475"/>
    <w:rsid w:val="0064396A"/>
    <w:rsid w:val="0064455E"/>
    <w:rsid w:val="0064624E"/>
    <w:rsid w:val="00646574"/>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DE0"/>
    <w:rsid w:val="0067218F"/>
    <w:rsid w:val="006741F2"/>
    <w:rsid w:val="00674854"/>
    <w:rsid w:val="00674CC3"/>
    <w:rsid w:val="00675C72"/>
    <w:rsid w:val="006771F9"/>
    <w:rsid w:val="006776D7"/>
    <w:rsid w:val="006779CC"/>
    <w:rsid w:val="00681003"/>
    <w:rsid w:val="006817C9"/>
    <w:rsid w:val="00683ECE"/>
    <w:rsid w:val="00685C4E"/>
    <w:rsid w:val="00686D4E"/>
    <w:rsid w:val="00687D4A"/>
    <w:rsid w:val="00694334"/>
    <w:rsid w:val="00695FC2"/>
    <w:rsid w:val="00696949"/>
    <w:rsid w:val="00697052"/>
    <w:rsid w:val="006A347D"/>
    <w:rsid w:val="006A37A4"/>
    <w:rsid w:val="006A46FB"/>
    <w:rsid w:val="006A5E28"/>
    <w:rsid w:val="006A697B"/>
    <w:rsid w:val="006A7AFF"/>
    <w:rsid w:val="006B1816"/>
    <w:rsid w:val="006B2099"/>
    <w:rsid w:val="006B50CF"/>
    <w:rsid w:val="006C03B8"/>
    <w:rsid w:val="006C5EC9"/>
    <w:rsid w:val="006C6059"/>
    <w:rsid w:val="006C7522"/>
    <w:rsid w:val="006D0292"/>
    <w:rsid w:val="006D130C"/>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08D4"/>
    <w:rsid w:val="0070346E"/>
    <w:rsid w:val="00704EDB"/>
    <w:rsid w:val="00706101"/>
    <w:rsid w:val="00707072"/>
    <w:rsid w:val="00707D61"/>
    <w:rsid w:val="00712287"/>
    <w:rsid w:val="00712772"/>
    <w:rsid w:val="007148D3"/>
    <w:rsid w:val="00715B9A"/>
    <w:rsid w:val="00721B32"/>
    <w:rsid w:val="007257D0"/>
    <w:rsid w:val="007260B7"/>
    <w:rsid w:val="00726EA6"/>
    <w:rsid w:val="00727208"/>
    <w:rsid w:val="00727680"/>
    <w:rsid w:val="007348B1"/>
    <w:rsid w:val="007362A6"/>
    <w:rsid w:val="00736D7D"/>
    <w:rsid w:val="00740E58"/>
    <w:rsid w:val="00742DF3"/>
    <w:rsid w:val="007445A0"/>
    <w:rsid w:val="0074524B"/>
    <w:rsid w:val="00745280"/>
    <w:rsid w:val="00747D8B"/>
    <w:rsid w:val="00751228"/>
    <w:rsid w:val="00752C3E"/>
    <w:rsid w:val="007571E1"/>
    <w:rsid w:val="007604B2"/>
    <w:rsid w:val="00765281"/>
    <w:rsid w:val="00766BAD"/>
    <w:rsid w:val="007729A2"/>
    <w:rsid w:val="007747B3"/>
    <w:rsid w:val="007755F2"/>
    <w:rsid w:val="00776971"/>
    <w:rsid w:val="00777FBE"/>
    <w:rsid w:val="00780A80"/>
    <w:rsid w:val="0078177E"/>
    <w:rsid w:val="0078304C"/>
    <w:rsid w:val="00783673"/>
    <w:rsid w:val="00785490"/>
    <w:rsid w:val="007925EA"/>
    <w:rsid w:val="00793CD8"/>
    <w:rsid w:val="00794552"/>
    <w:rsid w:val="007959A2"/>
    <w:rsid w:val="00795C92"/>
    <w:rsid w:val="00796231"/>
    <w:rsid w:val="00797173"/>
    <w:rsid w:val="007A0092"/>
    <w:rsid w:val="007A1C1C"/>
    <w:rsid w:val="007A1CB3"/>
    <w:rsid w:val="007A306F"/>
    <w:rsid w:val="007A3398"/>
    <w:rsid w:val="007A43A6"/>
    <w:rsid w:val="007A44B6"/>
    <w:rsid w:val="007A58A6"/>
    <w:rsid w:val="007A761A"/>
    <w:rsid w:val="007B07D5"/>
    <w:rsid w:val="007B23C8"/>
    <w:rsid w:val="007B252D"/>
    <w:rsid w:val="007B3D2D"/>
    <w:rsid w:val="007B50AE"/>
    <w:rsid w:val="007B51DF"/>
    <w:rsid w:val="007C05DD"/>
    <w:rsid w:val="007C0B39"/>
    <w:rsid w:val="007C3D18"/>
    <w:rsid w:val="007C60BF"/>
    <w:rsid w:val="007C6A07"/>
    <w:rsid w:val="007C75A1"/>
    <w:rsid w:val="007C77A5"/>
    <w:rsid w:val="007D04E5"/>
    <w:rsid w:val="007D1580"/>
    <w:rsid w:val="007D5901"/>
    <w:rsid w:val="007D7526"/>
    <w:rsid w:val="007E4610"/>
    <w:rsid w:val="007E4715"/>
    <w:rsid w:val="007E505B"/>
    <w:rsid w:val="007E7091"/>
    <w:rsid w:val="007F3F1D"/>
    <w:rsid w:val="00803FAE"/>
    <w:rsid w:val="0080605F"/>
    <w:rsid w:val="00807786"/>
    <w:rsid w:val="00811FCB"/>
    <w:rsid w:val="008158D6"/>
    <w:rsid w:val="00817196"/>
    <w:rsid w:val="008235DB"/>
    <w:rsid w:val="00824AB4"/>
    <w:rsid w:val="00824FA5"/>
    <w:rsid w:val="00825C42"/>
    <w:rsid w:val="00825D25"/>
    <w:rsid w:val="00827D6F"/>
    <w:rsid w:val="00830F2B"/>
    <w:rsid w:val="008376AC"/>
    <w:rsid w:val="00841994"/>
    <w:rsid w:val="008444E8"/>
    <w:rsid w:val="00844E80"/>
    <w:rsid w:val="00846FE7"/>
    <w:rsid w:val="00853FD2"/>
    <w:rsid w:val="00856911"/>
    <w:rsid w:val="008677FD"/>
    <w:rsid w:val="008706D4"/>
    <w:rsid w:val="00870F8A"/>
    <w:rsid w:val="008719A4"/>
    <w:rsid w:val="00871D23"/>
    <w:rsid w:val="00874312"/>
    <w:rsid w:val="0087437C"/>
    <w:rsid w:val="00875CD7"/>
    <w:rsid w:val="00876B4D"/>
    <w:rsid w:val="00877F18"/>
    <w:rsid w:val="00884557"/>
    <w:rsid w:val="0088633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B88"/>
    <w:rsid w:val="008C4958"/>
    <w:rsid w:val="008C4BAA"/>
    <w:rsid w:val="008C6AE8"/>
    <w:rsid w:val="008C7573"/>
    <w:rsid w:val="008D00A5"/>
    <w:rsid w:val="008D34F1"/>
    <w:rsid w:val="008D39D8"/>
    <w:rsid w:val="008D4BCB"/>
    <w:rsid w:val="008D6D1A"/>
    <w:rsid w:val="008E065E"/>
    <w:rsid w:val="008E0927"/>
    <w:rsid w:val="008E1685"/>
    <w:rsid w:val="008E1909"/>
    <w:rsid w:val="008F1C4E"/>
    <w:rsid w:val="008F1EAB"/>
    <w:rsid w:val="008F2E25"/>
    <w:rsid w:val="008F33DC"/>
    <w:rsid w:val="008F477F"/>
    <w:rsid w:val="008F58FC"/>
    <w:rsid w:val="00902350"/>
    <w:rsid w:val="0090336B"/>
    <w:rsid w:val="009053AA"/>
    <w:rsid w:val="00906939"/>
    <w:rsid w:val="00910B7D"/>
    <w:rsid w:val="00911DFB"/>
    <w:rsid w:val="009139D9"/>
    <w:rsid w:val="00914583"/>
    <w:rsid w:val="009149DF"/>
    <w:rsid w:val="00914AD8"/>
    <w:rsid w:val="00916079"/>
    <w:rsid w:val="00917CE9"/>
    <w:rsid w:val="0092075B"/>
    <w:rsid w:val="00920BF2"/>
    <w:rsid w:val="009211AF"/>
    <w:rsid w:val="00921BA2"/>
    <w:rsid w:val="00922010"/>
    <w:rsid w:val="00931BD9"/>
    <w:rsid w:val="009368F3"/>
    <w:rsid w:val="00941636"/>
    <w:rsid w:val="00943742"/>
    <w:rsid w:val="009451C8"/>
    <w:rsid w:val="00945C05"/>
    <w:rsid w:val="00946945"/>
    <w:rsid w:val="00947713"/>
    <w:rsid w:val="00950DE7"/>
    <w:rsid w:val="00953920"/>
    <w:rsid w:val="00953D47"/>
    <w:rsid w:val="00953E20"/>
    <w:rsid w:val="00954119"/>
    <w:rsid w:val="0095681E"/>
    <w:rsid w:val="009572D4"/>
    <w:rsid w:val="00961921"/>
    <w:rsid w:val="0096430A"/>
    <w:rsid w:val="0096554B"/>
    <w:rsid w:val="0096584A"/>
    <w:rsid w:val="009715FE"/>
    <w:rsid w:val="00971728"/>
    <w:rsid w:val="00971F08"/>
    <w:rsid w:val="00974AA9"/>
    <w:rsid w:val="0097603D"/>
    <w:rsid w:val="00976949"/>
    <w:rsid w:val="00980477"/>
    <w:rsid w:val="00985253"/>
    <w:rsid w:val="009853B3"/>
    <w:rsid w:val="00990630"/>
    <w:rsid w:val="00991761"/>
    <w:rsid w:val="00994DCA"/>
    <w:rsid w:val="009960EC"/>
    <w:rsid w:val="009963D7"/>
    <w:rsid w:val="009970DD"/>
    <w:rsid w:val="009A0FBA"/>
    <w:rsid w:val="009A1601"/>
    <w:rsid w:val="009A3BB6"/>
    <w:rsid w:val="009A462D"/>
    <w:rsid w:val="009A5CBA"/>
    <w:rsid w:val="009B1F30"/>
    <w:rsid w:val="009B2CA1"/>
    <w:rsid w:val="009B3AC2"/>
    <w:rsid w:val="009B4DF4"/>
    <w:rsid w:val="009B564E"/>
    <w:rsid w:val="009B7E87"/>
    <w:rsid w:val="009C0169"/>
    <w:rsid w:val="009C1201"/>
    <w:rsid w:val="009C403E"/>
    <w:rsid w:val="009D2C49"/>
    <w:rsid w:val="009D4FF0"/>
    <w:rsid w:val="009D703C"/>
    <w:rsid w:val="009D718F"/>
    <w:rsid w:val="009E068F"/>
    <w:rsid w:val="009E14E0"/>
    <w:rsid w:val="009E1958"/>
    <w:rsid w:val="009E35DB"/>
    <w:rsid w:val="009E47A3"/>
    <w:rsid w:val="009E7DCE"/>
    <w:rsid w:val="009F08F3"/>
    <w:rsid w:val="009F344F"/>
    <w:rsid w:val="009F5A93"/>
    <w:rsid w:val="00A01568"/>
    <w:rsid w:val="00A031D8"/>
    <w:rsid w:val="00A048A8"/>
    <w:rsid w:val="00A04F49"/>
    <w:rsid w:val="00A1093F"/>
    <w:rsid w:val="00A13E54"/>
    <w:rsid w:val="00A152FD"/>
    <w:rsid w:val="00A159AF"/>
    <w:rsid w:val="00A17F63"/>
    <w:rsid w:val="00A2193B"/>
    <w:rsid w:val="00A22052"/>
    <w:rsid w:val="00A2351A"/>
    <w:rsid w:val="00A255BC"/>
    <w:rsid w:val="00A264A9"/>
    <w:rsid w:val="00A26DCF"/>
    <w:rsid w:val="00A27785"/>
    <w:rsid w:val="00A30187"/>
    <w:rsid w:val="00A301E2"/>
    <w:rsid w:val="00A3448A"/>
    <w:rsid w:val="00A36297"/>
    <w:rsid w:val="00A375DE"/>
    <w:rsid w:val="00A41E2B"/>
    <w:rsid w:val="00A45B74"/>
    <w:rsid w:val="00A52E1D"/>
    <w:rsid w:val="00A55576"/>
    <w:rsid w:val="00A56054"/>
    <w:rsid w:val="00A60EEC"/>
    <w:rsid w:val="00A611BC"/>
    <w:rsid w:val="00A61499"/>
    <w:rsid w:val="00A62A77"/>
    <w:rsid w:val="00A63483"/>
    <w:rsid w:val="00A657D7"/>
    <w:rsid w:val="00A660AC"/>
    <w:rsid w:val="00A67E6C"/>
    <w:rsid w:val="00A71B99"/>
    <w:rsid w:val="00A739D0"/>
    <w:rsid w:val="00A761D4"/>
    <w:rsid w:val="00A77EC4"/>
    <w:rsid w:val="00A86C16"/>
    <w:rsid w:val="00A90B90"/>
    <w:rsid w:val="00A92879"/>
    <w:rsid w:val="00A9442A"/>
    <w:rsid w:val="00AA016F"/>
    <w:rsid w:val="00AA1ED6"/>
    <w:rsid w:val="00AA51D6"/>
    <w:rsid w:val="00AB099C"/>
    <w:rsid w:val="00AB0BC8"/>
    <w:rsid w:val="00AB0DCF"/>
    <w:rsid w:val="00AB11CA"/>
    <w:rsid w:val="00AB14D9"/>
    <w:rsid w:val="00AB4AB8"/>
    <w:rsid w:val="00AB655E"/>
    <w:rsid w:val="00AC007F"/>
    <w:rsid w:val="00AC22FB"/>
    <w:rsid w:val="00AC2ECD"/>
    <w:rsid w:val="00AC3119"/>
    <w:rsid w:val="00AC37DD"/>
    <w:rsid w:val="00AC49FB"/>
    <w:rsid w:val="00AC5A10"/>
    <w:rsid w:val="00AD0AA3"/>
    <w:rsid w:val="00AD2ED0"/>
    <w:rsid w:val="00AD3F94"/>
    <w:rsid w:val="00AD4A5A"/>
    <w:rsid w:val="00AE27AC"/>
    <w:rsid w:val="00AE2E6C"/>
    <w:rsid w:val="00AE40E0"/>
    <w:rsid w:val="00AE4DBA"/>
    <w:rsid w:val="00AE4F07"/>
    <w:rsid w:val="00AF1C5D"/>
    <w:rsid w:val="00AF42D7"/>
    <w:rsid w:val="00B006FE"/>
    <w:rsid w:val="00B007CB"/>
    <w:rsid w:val="00B02AA9"/>
    <w:rsid w:val="00B02FA3"/>
    <w:rsid w:val="00B05084"/>
    <w:rsid w:val="00B157F9"/>
    <w:rsid w:val="00B17E4A"/>
    <w:rsid w:val="00B20256"/>
    <w:rsid w:val="00B20D09"/>
    <w:rsid w:val="00B2757F"/>
    <w:rsid w:val="00B2763F"/>
    <w:rsid w:val="00B27AAC"/>
    <w:rsid w:val="00B30929"/>
    <w:rsid w:val="00B372AA"/>
    <w:rsid w:val="00B40445"/>
    <w:rsid w:val="00B409E0"/>
    <w:rsid w:val="00B41888"/>
    <w:rsid w:val="00B45A52"/>
    <w:rsid w:val="00B46175"/>
    <w:rsid w:val="00B548B7"/>
    <w:rsid w:val="00B55997"/>
    <w:rsid w:val="00B662C3"/>
    <w:rsid w:val="00B664C7"/>
    <w:rsid w:val="00B6797B"/>
    <w:rsid w:val="00B713D8"/>
    <w:rsid w:val="00B739F6"/>
    <w:rsid w:val="00B804C3"/>
    <w:rsid w:val="00B81A6C"/>
    <w:rsid w:val="00B82C76"/>
    <w:rsid w:val="00B85DE5"/>
    <w:rsid w:val="00B90F73"/>
    <w:rsid w:val="00B93B59"/>
    <w:rsid w:val="00B9406A"/>
    <w:rsid w:val="00BA2280"/>
    <w:rsid w:val="00BA2A08"/>
    <w:rsid w:val="00BA56D2"/>
    <w:rsid w:val="00BA76E0"/>
    <w:rsid w:val="00BB2A25"/>
    <w:rsid w:val="00BB51E9"/>
    <w:rsid w:val="00BC0FDC"/>
    <w:rsid w:val="00BC3053"/>
    <w:rsid w:val="00BC4D2E"/>
    <w:rsid w:val="00BC5AAF"/>
    <w:rsid w:val="00BD48AC"/>
    <w:rsid w:val="00BD5F1A"/>
    <w:rsid w:val="00BD733E"/>
    <w:rsid w:val="00BE1234"/>
    <w:rsid w:val="00BE2FA6"/>
    <w:rsid w:val="00BE333F"/>
    <w:rsid w:val="00BE7406"/>
    <w:rsid w:val="00BE7603"/>
    <w:rsid w:val="00BF3279"/>
    <w:rsid w:val="00BF4062"/>
    <w:rsid w:val="00BF74C7"/>
    <w:rsid w:val="00C015F1"/>
    <w:rsid w:val="00C01F33"/>
    <w:rsid w:val="00C02CC6"/>
    <w:rsid w:val="00C040F7"/>
    <w:rsid w:val="00C044AB"/>
    <w:rsid w:val="00C05706"/>
    <w:rsid w:val="00C059BE"/>
    <w:rsid w:val="00C07377"/>
    <w:rsid w:val="00C07AB0"/>
    <w:rsid w:val="00C10478"/>
    <w:rsid w:val="00C12107"/>
    <w:rsid w:val="00C14D4B"/>
    <w:rsid w:val="00C154BB"/>
    <w:rsid w:val="00C24C2A"/>
    <w:rsid w:val="00C279B5"/>
    <w:rsid w:val="00C27C45"/>
    <w:rsid w:val="00C27D04"/>
    <w:rsid w:val="00C3719D"/>
    <w:rsid w:val="00C37CB2"/>
    <w:rsid w:val="00C435D5"/>
    <w:rsid w:val="00C473A5"/>
    <w:rsid w:val="00C51403"/>
    <w:rsid w:val="00C54995"/>
    <w:rsid w:val="00C54D41"/>
    <w:rsid w:val="00C60783"/>
    <w:rsid w:val="00C64672"/>
    <w:rsid w:val="00C70697"/>
    <w:rsid w:val="00C72093"/>
    <w:rsid w:val="00C72EF4"/>
    <w:rsid w:val="00C744FE"/>
    <w:rsid w:val="00C75D2F"/>
    <w:rsid w:val="00C767BE"/>
    <w:rsid w:val="00C76E3C"/>
    <w:rsid w:val="00C775AD"/>
    <w:rsid w:val="00C81568"/>
    <w:rsid w:val="00C9027A"/>
    <w:rsid w:val="00C9068E"/>
    <w:rsid w:val="00C93814"/>
    <w:rsid w:val="00C93C4B"/>
    <w:rsid w:val="00C944AB"/>
    <w:rsid w:val="00C95B40"/>
    <w:rsid w:val="00CA1ED8"/>
    <w:rsid w:val="00CA321D"/>
    <w:rsid w:val="00CB1185"/>
    <w:rsid w:val="00CB1F63"/>
    <w:rsid w:val="00CB7170"/>
    <w:rsid w:val="00CC040E"/>
    <w:rsid w:val="00CC111F"/>
    <w:rsid w:val="00CC2011"/>
    <w:rsid w:val="00CC3EA0"/>
    <w:rsid w:val="00CC64AC"/>
    <w:rsid w:val="00CC7B45"/>
    <w:rsid w:val="00CD1188"/>
    <w:rsid w:val="00CD2ED1"/>
    <w:rsid w:val="00CD337B"/>
    <w:rsid w:val="00CE0424"/>
    <w:rsid w:val="00CE4866"/>
    <w:rsid w:val="00CE5255"/>
    <w:rsid w:val="00CE7561"/>
    <w:rsid w:val="00CF1354"/>
    <w:rsid w:val="00CF3B1F"/>
    <w:rsid w:val="00CF3BF6"/>
    <w:rsid w:val="00CF625B"/>
    <w:rsid w:val="00CF687E"/>
    <w:rsid w:val="00CF6FFA"/>
    <w:rsid w:val="00D0349B"/>
    <w:rsid w:val="00D10249"/>
    <w:rsid w:val="00D112FB"/>
    <w:rsid w:val="00D115C3"/>
    <w:rsid w:val="00D11897"/>
    <w:rsid w:val="00D13135"/>
    <w:rsid w:val="00D13E4E"/>
    <w:rsid w:val="00D239A7"/>
    <w:rsid w:val="00D23F47"/>
    <w:rsid w:val="00D36E71"/>
    <w:rsid w:val="00D37D87"/>
    <w:rsid w:val="00D40B33"/>
    <w:rsid w:val="00D4318F"/>
    <w:rsid w:val="00D438BF"/>
    <w:rsid w:val="00D440F8"/>
    <w:rsid w:val="00D51927"/>
    <w:rsid w:val="00D546FF"/>
    <w:rsid w:val="00D55AD5"/>
    <w:rsid w:val="00D576CA"/>
    <w:rsid w:val="00D5773E"/>
    <w:rsid w:val="00D61AF5"/>
    <w:rsid w:val="00D652B5"/>
    <w:rsid w:val="00D66155"/>
    <w:rsid w:val="00D708B0"/>
    <w:rsid w:val="00D77B1D"/>
    <w:rsid w:val="00D8021F"/>
    <w:rsid w:val="00D80383"/>
    <w:rsid w:val="00D823C6"/>
    <w:rsid w:val="00D8327F"/>
    <w:rsid w:val="00D86CA3"/>
    <w:rsid w:val="00D871CE"/>
    <w:rsid w:val="00D9196D"/>
    <w:rsid w:val="00D92982"/>
    <w:rsid w:val="00D96E13"/>
    <w:rsid w:val="00DA305E"/>
    <w:rsid w:val="00DA49ED"/>
    <w:rsid w:val="00DA5417"/>
    <w:rsid w:val="00DA56E8"/>
    <w:rsid w:val="00DB0A9F"/>
    <w:rsid w:val="00DB179C"/>
    <w:rsid w:val="00DB377D"/>
    <w:rsid w:val="00DC2D36"/>
    <w:rsid w:val="00DC53EF"/>
    <w:rsid w:val="00DD587D"/>
    <w:rsid w:val="00DE5608"/>
    <w:rsid w:val="00DE58D0"/>
    <w:rsid w:val="00DE654F"/>
    <w:rsid w:val="00DF0B6E"/>
    <w:rsid w:val="00DF15E0"/>
    <w:rsid w:val="00DF37A0"/>
    <w:rsid w:val="00DF4CB5"/>
    <w:rsid w:val="00DF5DFB"/>
    <w:rsid w:val="00E110E7"/>
    <w:rsid w:val="00E11B20"/>
    <w:rsid w:val="00E17FA2"/>
    <w:rsid w:val="00E22330"/>
    <w:rsid w:val="00E2533B"/>
    <w:rsid w:val="00E27830"/>
    <w:rsid w:val="00E30B5A"/>
    <w:rsid w:val="00E3123D"/>
    <w:rsid w:val="00E31461"/>
    <w:rsid w:val="00E31D43"/>
    <w:rsid w:val="00E32608"/>
    <w:rsid w:val="00E34188"/>
    <w:rsid w:val="00E34B6E"/>
    <w:rsid w:val="00E35559"/>
    <w:rsid w:val="00E3723A"/>
    <w:rsid w:val="00E37860"/>
    <w:rsid w:val="00E41E35"/>
    <w:rsid w:val="00E4271B"/>
    <w:rsid w:val="00E44503"/>
    <w:rsid w:val="00E446F1"/>
    <w:rsid w:val="00E454DB"/>
    <w:rsid w:val="00E46886"/>
    <w:rsid w:val="00E47AEF"/>
    <w:rsid w:val="00E50FAD"/>
    <w:rsid w:val="00E5129C"/>
    <w:rsid w:val="00E53B75"/>
    <w:rsid w:val="00E5476E"/>
    <w:rsid w:val="00E54E3B"/>
    <w:rsid w:val="00E565E1"/>
    <w:rsid w:val="00E57565"/>
    <w:rsid w:val="00E63838"/>
    <w:rsid w:val="00E64434"/>
    <w:rsid w:val="00E67C51"/>
    <w:rsid w:val="00E7202F"/>
    <w:rsid w:val="00E72EFC"/>
    <w:rsid w:val="00E758EC"/>
    <w:rsid w:val="00E8234C"/>
    <w:rsid w:val="00E83AA9"/>
    <w:rsid w:val="00E85928"/>
    <w:rsid w:val="00E87822"/>
    <w:rsid w:val="00E90395"/>
    <w:rsid w:val="00E90E49"/>
    <w:rsid w:val="00E917F9"/>
    <w:rsid w:val="00E9291C"/>
    <w:rsid w:val="00E93FFE"/>
    <w:rsid w:val="00E94F8A"/>
    <w:rsid w:val="00EA5F6F"/>
    <w:rsid w:val="00EA7A41"/>
    <w:rsid w:val="00EB077B"/>
    <w:rsid w:val="00EB3313"/>
    <w:rsid w:val="00EB4EA2"/>
    <w:rsid w:val="00EC24D5"/>
    <w:rsid w:val="00EC273A"/>
    <w:rsid w:val="00EC27C6"/>
    <w:rsid w:val="00EC4207"/>
    <w:rsid w:val="00EC5653"/>
    <w:rsid w:val="00EC71CE"/>
    <w:rsid w:val="00ED1006"/>
    <w:rsid w:val="00ED5204"/>
    <w:rsid w:val="00EF18FE"/>
    <w:rsid w:val="00EF5787"/>
    <w:rsid w:val="00EF60D0"/>
    <w:rsid w:val="00EF685B"/>
    <w:rsid w:val="00EF6938"/>
    <w:rsid w:val="00F00781"/>
    <w:rsid w:val="00F0528D"/>
    <w:rsid w:val="00F06C67"/>
    <w:rsid w:val="00F06DFD"/>
    <w:rsid w:val="00F071D1"/>
    <w:rsid w:val="00F07533"/>
    <w:rsid w:val="00F10629"/>
    <w:rsid w:val="00F1180C"/>
    <w:rsid w:val="00F157F0"/>
    <w:rsid w:val="00F15FA5"/>
    <w:rsid w:val="00F209B7"/>
    <w:rsid w:val="00F226DF"/>
    <w:rsid w:val="00F2376F"/>
    <w:rsid w:val="00F243D8"/>
    <w:rsid w:val="00F30828"/>
    <w:rsid w:val="00F313D6"/>
    <w:rsid w:val="00F35A2F"/>
    <w:rsid w:val="00F40F0C"/>
    <w:rsid w:val="00F4766C"/>
    <w:rsid w:val="00F5060E"/>
    <w:rsid w:val="00F507D1"/>
    <w:rsid w:val="00F519CE"/>
    <w:rsid w:val="00F51ADA"/>
    <w:rsid w:val="00F53D6B"/>
    <w:rsid w:val="00F60203"/>
    <w:rsid w:val="00F607C5"/>
    <w:rsid w:val="00F60DEA"/>
    <w:rsid w:val="00F6302A"/>
    <w:rsid w:val="00F63950"/>
    <w:rsid w:val="00F64C2B"/>
    <w:rsid w:val="00F651BE"/>
    <w:rsid w:val="00F658A6"/>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DB9"/>
    <w:rsid w:val="00FB4C80"/>
    <w:rsid w:val="00FB67CC"/>
    <w:rsid w:val="00FB6A6A"/>
    <w:rsid w:val="00FC5FA6"/>
    <w:rsid w:val="00FC7429"/>
    <w:rsid w:val="00FD07F6"/>
    <w:rsid w:val="00FD1EC8"/>
    <w:rsid w:val="00FD47ED"/>
    <w:rsid w:val="00FD74DB"/>
    <w:rsid w:val="00FD7660"/>
    <w:rsid w:val="00FE0117"/>
    <w:rsid w:val="00FE0655"/>
    <w:rsid w:val="00FE2365"/>
    <w:rsid w:val="00FE37D7"/>
    <w:rsid w:val="00FE4C7B"/>
    <w:rsid w:val="00FE7336"/>
    <w:rsid w:val="00FE787C"/>
    <w:rsid w:val="00FF00E8"/>
    <w:rsid w:val="00FF45A5"/>
    <w:rsid w:val="00FF5C91"/>
    <w:rsid w:val="00FF74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55642E"/>
    <w:pPr>
      <w:spacing w:after="160" w:line="259" w:lineRule="auto"/>
      <w:jc w:val="both"/>
    </w:pPr>
    <w:rPr>
      <w:rFonts w:ascii="Arial" w:eastAsiaTheme="minorHAnsi" w:hAnsi="Arial" w:cstheme="minorBidi"/>
      <w:szCs w:val="22"/>
      <w:lang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5642E"/>
    <w:pPr>
      <w:numPr>
        <w:numId w:val="25"/>
      </w:numPr>
      <w:spacing w:after="0"/>
    </w:pPr>
  </w:style>
  <w:style w:type="character" w:customStyle="1" w:styleId="ListParagraphChar">
    <w:name w:val="List Paragraph Char"/>
    <w:link w:val="ListParagraph"/>
    <w:uiPriority w:val="34"/>
    <w:locked/>
    <w:rsid w:val="0055642E"/>
    <w:rPr>
      <w:rFonts w:ascii="Arial" w:eastAsiaTheme="minorHAnsi" w:hAnsi="Arial" w:cstheme="minorBidi"/>
      <w:szCs w:val="22"/>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9963D7"/>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Revision">
    <w:name w:val="Revision"/>
    <w:hidden/>
    <w:uiPriority w:val="99"/>
    <w:semiHidden/>
    <w:rsid w:val="00DF5DFB"/>
    <w:rPr>
      <w:rFonts w:ascii="Arial" w:eastAsiaTheme="minorHAnsi" w:hAnsi="Arial" w:cstheme="minorBidi"/>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84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9B7A453B-4B49-4998-91C0-430C705DC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44210-F4DC-431B-9CB7-0309719186FA}">
  <ds:schemaRefs>
    <ds:schemaRef ds:uri="http://schemas.microsoft.com/sharepoint/v3/contenttype/forms"/>
  </ds:schemaRefs>
</ds:datastoreItem>
</file>

<file path=customXml/itemProps3.xml><?xml version="1.0" encoding="utf-8"?>
<ds:datastoreItem xmlns:ds="http://schemas.openxmlformats.org/officeDocument/2006/customXml" ds:itemID="{35505107-B659-4E5E-90BE-A2C10F5F0A67}">
  <ds:schemaRefs>
    <ds:schemaRef ds:uri="http://schemas.openxmlformats.org/officeDocument/2006/bibliography"/>
  </ds:schemaRefs>
</ds:datastoreItem>
</file>

<file path=customXml/itemProps4.xml><?xml version="1.0" encoding="utf-8"?>
<ds:datastoreItem xmlns:ds="http://schemas.openxmlformats.org/officeDocument/2006/customXml" ds:itemID="{FB01BA96-B3FD-455E-8ED8-CFD04250A52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2692</Words>
  <Characters>15350</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2023-09-29T16:00:00Z</dcterms:created>
  <dcterms:modified xsi:type="dcterms:W3CDTF">2023-09-29T16:00:00Z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ContentTypeId">
    <vt:lpwstr>0x010100F3E9551B3FDDA24EBF0A209BAAD637CA</vt:lpwstr>
  </property>
  <property fmtid="{D5CDD505-2E9C-101B-9397-08002B2CF9AE}" pid="9" name="Date">
    <vt:filetime>2018-03-26T22:00:00Z</vt:filetime>
  </property>
  <property fmtid="{D5CDD505-2E9C-101B-9397-08002B2CF9AE}" pid="10" name="EriCOLLOrganizationUnitTaxHTField0">
    <vt:lpwstr/>
  </property>
  <property fmtid="{D5CDD505-2E9C-101B-9397-08002B2CF9AE}" pid="11" name="EriCOLLCategoryTaxHTField0">
    <vt:lpwstr/>
  </property>
  <property fmtid="{D5CDD505-2E9C-101B-9397-08002B2CF9AE}" pid="12" name="EriCOLLProducts">
    <vt:lpwstr/>
  </property>
  <property fmtid="{D5CDD505-2E9C-101B-9397-08002B2CF9AE}" pid="13" name="EriCOLLCustomer">
    <vt:lpwstr/>
  </property>
  <property fmtid="{D5CDD505-2E9C-101B-9397-08002B2CF9AE}" pid="14" name="EriCOLLCompetenceTaxHTField0">
    <vt:lpwstr/>
  </property>
  <property fmtid="{D5CDD505-2E9C-101B-9397-08002B2CF9AE}" pid="15" name="_dlc_DocIdItemGuid">
    <vt:lpwstr>603fc7b2-5529-4129-8d71-8dfa42f26dc1</vt:lpwstr>
  </property>
  <property fmtid="{D5CDD505-2E9C-101B-9397-08002B2CF9AE}" pid="16" name="EriCOLLCustomerTaxHTField0">
    <vt:lpwstr/>
  </property>
  <property fmtid="{D5CDD505-2E9C-101B-9397-08002B2CF9AE}" pid="17" name="EriCOLLCountryTaxHTField0">
    <vt:lpwstr/>
  </property>
  <property fmtid="{D5CDD505-2E9C-101B-9397-08002B2CF9AE}" pid="18" name="EriCOLLProductsTaxHTField0">
    <vt:lpwstr/>
  </property>
  <property fmtid="{D5CDD505-2E9C-101B-9397-08002B2CF9AE}" pid="19" name="EriCOLLProcessTaxHTField0">
    <vt:lpwstr/>
  </property>
  <property fmtid="{D5CDD505-2E9C-101B-9397-08002B2CF9AE}" pid="20" name="EriCOLLProjects">
    <vt:lpwstr/>
  </property>
  <property fmtid="{D5CDD505-2E9C-101B-9397-08002B2CF9AE}" pid="21" name="EriCOLLProcess">
    <vt:lpwstr/>
  </property>
  <property fmtid="{D5CDD505-2E9C-101B-9397-08002B2CF9AE}" pid="22" name="EriCOLLOrganizationUnit">
    <vt:lpwstr/>
  </property>
</Properties>
</file>